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56" w:rsidRPr="0069455D" w:rsidRDefault="00C5584D" w:rsidP="00C5584D">
      <w:pPr>
        <w:jc w:val="center"/>
        <w:rPr>
          <w:rFonts w:ascii="Arial" w:hAnsi="Arial" w:cs="Arial"/>
        </w:rPr>
      </w:pPr>
      <w:bookmarkStart w:id="0" w:name="_GoBack"/>
      <w:bookmarkEnd w:id="0"/>
      <w:r w:rsidRPr="0069455D">
        <w:rPr>
          <w:rFonts w:ascii="Arial" w:hAnsi="Arial" w:cs="Arial"/>
          <w:b/>
        </w:rPr>
        <w:t>Common Core State Standards for English Language Arts: K-12 Close Reading Task</w:t>
      </w:r>
    </w:p>
    <w:tbl>
      <w:tblPr>
        <w:tblStyle w:val="TableGrid"/>
        <w:tblW w:w="13770" w:type="dxa"/>
        <w:tblInd w:w="108" w:type="dxa"/>
        <w:tblLayout w:type="fixed"/>
        <w:tblLook w:val="04A0"/>
      </w:tblPr>
      <w:tblGrid>
        <w:gridCol w:w="3960"/>
        <w:gridCol w:w="883"/>
        <w:gridCol w:w="8927"/>
      </w:tblGrid>
      <w:tr w:rsidR="00DC4181" w:rsidRPr="0069455D" w:rsidTr="00780C9A">
        <w:trPr>
          <w:trHeight w:val="449"/>
        </w:trPr>
        <w:tc>
          <w:tcPr>
            <w:tcW w:w="137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4181" w:rsidRPr="0069455D" w:rsidRDefault="00DC4181" w:rsidP="004423D6">
            <w:pPr>
              <w:jc w:val="center"/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>Text grade band placement:</w:t>
            </w:r>
          </w:p>
          <w:p w:rsidR="00DC4181" w:rsidRPr="0069455D" w:rsidRDefault="0069455D" w:rsidP="00D0606E">
            <w:pPr>
              <w:pStyle w:val="NoSpacing"/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>11-12</w:t>
            </w:r>
          </w:p>
        </w:tc>
      </w:tr>
      <w:tr w:rsidR="00DC4181" w:rsidRPr="0069455D" w:rsidTr="00F36AB1">
        <w:trPr>
          <w:trHeight w:val="305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4181" w:rsidRPr="0069455D" w:rsidRDefault="00DC4181" w:rsidP="00B47FFD">
            <w:pPr>
              <w:jc w:val="center"/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C4181" w:rsidRPr="0069455D" w:rsidRDefault="00DC4181" w:rsidP="00C5584D">
            <w:pPr>
              <w:jc w:val="center"/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>Text Complexity Analysis</w:t>
            </w:r>
          </w:p>
        </w:tc>
      </w:tr>
      <w:tr w:rsidR="00DC4181" w:rsidRPr="0069455D" w:rsidTr="00F36AB1">
        <w:trPr>
          <w:trHeight w:val="1241"/>
        </w:trPr>
        <w:tc>
          <w:tcPr>
            <w:tcW w:w="3960" w:type="dxa"/>
            <w:vMerge w:val="restart"/>
            <w:shd w:val="clear" w:color="auto" w:fill="FFFFFF" w:themeFill="background1"/>
          </w:tcPr>
          <w:p w:rsidR="00571239" w:rsidRPr="0069455D" w:rsidRDefault="00571239" w:rsidP="00571239">
            <w:pPr>
              <w:rPr>
                <w:rFonts w:ascii="Arial" w:eastAsia="Calibri" w:hAnsi="Arial" w:cs="Arial"/>
              </w:rPr>
            </w:pPr>
            <w:r w:rsidRPr="0069455D">
              <w:rPr>
                <w:rFonts w:ascii="Arial" w:eastAsia="Calibri" w:hAnsi="Arial" w:cs="Arial"/>
                <w:b/>
              </w:rPr>
              <w:t>Title:</w:t>
            </w:r>
            <w:r w:rsidRPr="0069455D">
              <w:rPr>
                <w:rFonts w:ascii="Arial" w:eastAsia="Calibri" w:hAnsi="Arial" w:cs="Arial"/>
                <w:color w:val="FF0000"/>
              </w:rPr>
              <w:t xml:space="preserve">  </w:t>
            </w:r>
            <w:r w:rsidRPr="0069455D">
              <w:rPr>
                <w:rFonts w:ascii="Arial" w:eastAsia="Calibri" w:hAnsi="Arial" w:cs="Arial"/>
              </w:rPr>
              <w:t>“Letter from Birmingham Jail”</w:t>
            </w:r>
          </w:p>
          <w:p w:rsidR="00EC58CA" w:rsidRDefault="00571239" w:rsidP="00571239">
            <w:pPr>
              <w:rPr>
                <w:rFonts w:ascii="Arial" w:eastAsia="Calibri" w:hAnsi="Arial" w:cs="Arial"/>
              </w:rPr>
            </w:pPr>
            <w:r w:rsidRPr="0069455D">
              <w:rPr>
                <w:rFonts w:ascii="Arial" w:eastAsia="Calibri" w:hAnsi="Arial" w:cs="Arial"/>
              </w:rPr>
              <w:t xml:space="preserve">             (1963)</w:t>
            </w:r>
          </w:p>
          <w:p w:rsidR="0069455D" w:rsidRPr="0069455D" w:rsidRDefault="0069455D" w:rsidP="00571239">
            <w:pPr>
              <w:rPr>
                <w:rFonts w:ascii="Arial" w:eastAsia="Calibri" w:hAnsi="Arial" w:cs="Arial"/>
                <w:color w:val="FF0000"/>
              </w:rPr>
            </w:pPr>
          </w:p>
          <w:p w:rsidR="00EC58CA" w:rsidRPr="0069455D" w:rsidRDefault="00571239" w:rsidP="00571239">
            <w:pPr>
              <w:rPr>
                <w:rFonts w:ascii="Arial" w:eastAsia="Calibri" w:hAnsi="Arial" w:cs="Arial"/>
                <w:b/>
              </w:rPr>
            </w:pPr>
            <w:r w:rsidRPr="0069455D">
              <w:rPr>
                <w:rFonts w:ascii="Arial" w:eastAsia="Calibri" w:hAnsi="Arial" w:cs="Arial"/>
                <w:b/>
              </w:rPr>
              <w:t xml:space="preserve">Author:  </w:t>
            </w:r>
            <w:r w:rsidR="00EC58CA" w:rsidRPr="0069455D">
              <w:rPr>
                <w:rFonts w:ascii="Arial" w:eastAsia="Calibri" w:hAnsi="Arial" w:cs="Arial"/>
              </w:rPr>
              <w:t>King, Jr., Martin Luther</w:t>
            </w:r>
            <w:r w:rsidR="00EC58CA" w:rsidRPr="0069455D">
              <w:rPr>
                <w:rFonts w:ascii="Arial" w:eastAsia="Calibri" w:hAnsi="Arial" w:cs="Arial"/>
                <w:b/>
              </w:rPr>
              <w:t xml:space="preserve"> </w:t>
            </w:r>
          </w:p>
          <w:p w:rsidR="0069455D" w:rsidRDefault="0069455D" w:rsidP="0069455D">
            <w:pPr>
              <w:rPr>
                <w:rFonts w:ascii="Arial" w:eastAsia="Calibri" w:hAnsi="Arial" w:cs="Arial"/>
                <w:color w:val="FF0000"/>
              </w:rPr>
            </w:pPr>
          </w:p>
          <w:p w:rsidR="00EC58CA" w:rsidRPr="0069455D" w:rsidRDefault="00EC58CA" w:rsidP="0069455D">
            <w:pPr>
              <w:rPr>
                <w:rFonts w:ascii="Arial" w:eastAsia="Calibri" w:hAnsi="Arial" w:cs="Arial"/>
              </w:rPr>
            </w:pPr>
            <w:r w:rsidRPr="0069455D">
              <w:rPr>
                <w:rFonts w:ascii="Arial" w:eastAsia="Calibri" w:hAnsi="Arial" w:cs="Arial"/>
                <w:b/>
              </w:rPr>
              <w:t>Citation:</w:t>
            </w:r>
            <w:r w:rsidRPr="0069455D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69455D">
              <w:rPr>
                <w:rFonts w:ascii="Arial" w:eastAsia="Calibri" w:hAnsi="Arial" w:cs="Arial"/>
              </w:rPr>
              <w:t>“</w:t>
            </w:r>
            <w:r w:rsidR="0069455D" w:rsidRPr="0069455D">
              <w:rPr>
                <w:rFonts w:ascii="Arial" w:eastAsia="Calibri" w:hAnsi="Arial" w:cs="Arial"/>
              </w:rPr>
              <w:t>Letter</w:t>
            </w:r>
            <w:r w:rsidRPr="0069455D">
              <w:rPr>
                <w:rFonts w:ascii="Arial" w:eastAsia="Calibri" w:hAnsi="Arial" w:cs="Arial"/>
              </w:rPr>
              <w:t xml:space="preserve"> from Birmingham Jail.” </w:t>
            </w:r>
            <w:r w:rsidR="00E9538E">
              <w:rPr>
                <w:rFonts w:ascii="Arial" w:eastAsia="Calibri" w:hAnsi="Arial" w:cs="Arial"/>
                <w:i/>
              </w:rPr>
              <w:t>Why We Can’t W</w:t>
            </w:r>
            <w:r w:rsidRPr="0069455D">
              <w:rPr>
                <w:rFonts w:ascii="Arial" w:eastAsia="Calibri" w:hAnsi="Arial" w:cs="Arial"/>
                <w:i/>
              </w:rPr>
              <w:t>ait.</w:t>
            </w:r>
            <w:r w:rsidRPr="0069455D">
              <w:rPr>
                <w:rFonts w:ascii="Arial" w:eastAsia="Calibri" w:hAnsi="Arial" w:cs="Arial"/>
              </w:rPr>
              <w:t xml:space="preserve"> New York: Signet Classics, 2000. (1963)</w:t>
            </w:r>
          </w:p>
          <w:p w:rsidR="00DC7DEE" w:rsidRPr="0069455D" w:rsidRDefault="00DC7DEE" w:rsidP="00DC7DEE">
            <w:pPr>
              <w:rPr>
                <w:rFonts w:ascii="Arial" w:hAnsi="Arial" w:cs="Arial"/>
              </w:rPr>
            </w:pPr>
          </w:p>
          <w:p w:rsidR="00DC4181" w:rsidRPr="0069455D" w:rsidRDefault="00C667D4" w:rsidP="00C667D4">
            <w:pPr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>Publication Link:</w:t>
            </w:r>
          </w:p>
          <w:p w:rsidR="00C667D4" w:rsidRPr="0069455D" w:rsidRDefault="004B3DB1" w:rsidP="00C667D4">
            <w:pPr>
              <w:rPr>
                <w:rFonts w:ascii="Arial" w:hAnsi="Arial" w:cs="Arial"/>
              </w:rPr>
            </w:pPr>
            <w:hyperlink r:id="rId5" w:history="1">
              <w:r w:rsidR="00C667D4" w:rsidRPr="0069455D">
                <w:rPr>
                  <w:rStyle w:val="Hyperlink"/>
                  <w:rFonts w:ascii="Arial" w:hAnsi="Arial" w:cs="Arial"/>
                </w:rPr>
                <w:t>http://abacus.bates.edu/admin/offices/dos/mlk/letter.html</w:t>
              </w:r>
            </w:hyperlink>
          </w:p>
          <w:p w:rsidR="00C667D4" w:rsidRPr="0069455D" w:rsidRDefault="00C667D4" w:rsidP="00C667D4">
            <w:pPr>
              <w:rPr>
                <w:rFonts w:ascii="Arial" w:hAnsi="Arial" w:cs="Arial"/>
              </w:rPr>
            </w:pPr>
          </w:p>
        </w:tc>
        <w:tc>
          <w:tcPr>
            <w:tcW w:w="9810" w:type="dxa"/>
            <w:gridSpan w:val="2"/>
            <w:shd w:val="clear" w:color="auto" w:fill="FFFFFF" w:themeFill="background1"/>
          </w:tcPr>
          <w:p w:rsidR="00DC4181" w:rsidRPr="0069455D" w:rsidRDefault="00DC4181" w:rsidP="00711FC0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69455D">
              <w:rPr>
                <w:rFonts w:ascii="Arial" w:hAnsi="Arial" w:cs="Arial"/>
                <w:b/>
                <w:sz w:val="22"/>
              </w:rPr>
              <w:t xml:space="preserve">Quantitative: </w:t>
            </w:r>
          </w:p>
          <w:p w:rsidR="00C759F9" w:rsidRPr="0069455D" w:rsidRDefault="002276C2" w:rsidP="002276C2">
            <w:pPr>
              <w:pStyle w:val="NoSpacing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Lexile:</w:t>
            </w:r>
            <w:r w:rsidR="00EC58CA" w:rsidRPr="0069455D">
              <w:rPr>
                <w:rFonts w:ascii="Arial" w:hAnsi="Arial" w:cs="Arial"/>
                <w:sz w:val="22"/>
              </w:rPr>
              <w:t xml:space="preserve"> 1340</w:t>
            </w:r>
            <w:r>
              <w:rPr>
                <w:rFonts w:ascii="Arial" w:hAnsi="Arial" w:cs="Arial"/>
                <w:sz w:val="22"/>
              </w:rPr>
              <w:t>L</w:t>
            </w:r>
          </w:p>
        </w:tc>
      </w:tr>
      <w:tr w:rsidR="00DC4181" w:rsidRPr="0069455D" w:rsidTr="00F36AB1">
        <w:trPr>
          <w:trHeight w:val="1250"/>
        </w:trPr>
        <w:tc>
          <w:tcPr>
            <w:tcW w:w="3960" w:type="dxa"/>
            <w:vMerge/>
            <w:shd w:val="clear" w:color="auto" w:fill="FFFFFF" w:themeFill="background1"/>
          </w:tcPr>
          <w:p w:rsidR="00DC4181" w:rsidRPr="0069455D" w:rsidRDefault="00DC4181" w:rsidP="00711F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810" w:type="dxa"/>
            <w:gridSpan w:val="2"/>
            <w:shd w:val="clear" w:color="auto" w:fill="FFFFFF" w:themeFill="background1"/>
          </w:tcPr>
          <w:p w:rsidR="00EC58CA" w:rsidRPr="0069455D" w:rsidRDefault="00DC4181" w:rsidP="00DC4181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69455D">
              <w:rPr>
                <w:rFonts w:ascii="Arial" w:hAnsi="Arial" w:cs="Arial"/>
                <w:b/>
                <w:sz w:val="22"/>
              </w:rPr>
              <w:t>Qualitative:</w:t>
            </w:r>
            <w:r w:rsidR="00EC58CA" w:rsidRPr="0069455D">
              <w:rPr>
                <w:rFonts w:ascii="Arial" w:hAnsi="Arial" w:cs="Arial"/>
                <w:b/>
                <w:sz w:val="22"/>
              </w:rPr>
              <w:t xml:space="preserve">  </w:t>
            </w:r>
          </w:p>
          <w:p w:rsidR="00EC58CA" w:rsidRPr="0069455D" w:rsidRDefault="00EC58CA" w:rsidP="00DC4181">
            <w:pPr>
              <w:pStyle w:val="NoSpacing"/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This text is appropriate because it is both challenging and thought provoking.  The text includes:</w:t>
            </w:r>
          </w:p>
          <w:p w:rsidR="00721A66" w:rsidRPr="0069455D" w:rsidRDefault="00721A66" w:rsidP="0069455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challenging vocabulary</w:t>
            </w:r>
          </w:p>
          <w:p w:rsidR="00721A66" w:rsidRPr="0069455D" w:rsidRDefault="00DB65B2" w:rsidP="0069455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use of figurative language</w:t>
            </w:r>
          </w:p>
          <w:p w:rsidR="00DB65B2" w:rsidRPr="0069455D" w:rsidRDefault="00DB65B2" w:rsidP="0069455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 xml:space="preserve">abstract ideas </w:t>
            </w:r>
          </w:p>
        </w:tc>
      </w:tr>
      <w:tr w:rsidR="00DC4181" w:rsidRPr="0069455D" w:rsidTr="00F36AB1">
        <w:trPr>
          <w:trHeight w:val="2453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C4181" w:rsidRPr="0069455D" w:rsidRDefault="00DC4181" w:rsidP="00711F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C4181" w:rsidRPr="0069455D" w:rsidRDefault="00DC4181" w:rsidP="00DC4181">
            <w:pPr>
              <w:pStyle w:val="NoSpacing"/>
              <w:rPr>
                <w:rFonts w:ascii="Arial" w:hAnsi="Arial" w:cs="Arial"/>
                <w:b/>
                <w:color w:val="FF0000"/>
                <w:sz w:val="22"/>
              </w:rPr>
            </w:pPr>
            <w:r w:rsidRPr="0069455D">
              <w:rPr>
                <w:rFonts w:ascii="Arial" w:hAnsi="Arial" w:cs="Arial"/>
                <w:b/>
                <w:sz w:val="22"/>
              </w:rPr>
              <w:t>Reader and Task:</w:t>
            </w:r>
            <w:r w:rsidRPr="0069455D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:rsidR="00DC4181" w:rsidRPr="0069455D" w:rsidRDefault="008E5BD2" w:rsidP="00DC4181">
            <w:pPr>
              <w:pStyle w:val="NoSpacing"/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Potential challenges for students may include:</w:t>
            </w:r>
          </w:p>
          <w:p w:rsidR="008E5BD2" w:rsidRPr="0069455D" w:rsidRDefault="008E5BD2" w:rsidP="00F6232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vocabulary</w:t>
            </w:r>
          </w:p>
          <w:p w:rsidR="008E5BD2" w:rsidRPr="0069455D" w:rsidRDefault="008E5BD2" w:rsidP="00F6232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background information</w:t>
            </w:r>
          </w:p>
          <w:p w:rsidR="008E5BD2" w:rsidRPr="0069455D" w:rsidRDefault="008E5BD2" w:rsidP="00F6232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complex text structure</w:t>
            </w:r>
          </w:p>
          <w:p w:rsidR="00F6232D" w:rsidRPr="0069455D" w:rsidRDefault="00F6232D" w:rsidP="00F6232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tone of text</w:t>
            </w:r>
          </w:p>
          <w:p w:rsidR="008E5BD2" w:rsidRPr="0069455D" w:rsidRDefault="008E5BD2" w:rsidP="00DC4181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  <w:p w:rsidR="00DC4181" w:rsidRPr="0069455D" w:rsidRDefault="00DC4181" w:rsidP="00DC4181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  <w:p w:rsidR="00DC4181" w:rsidRPr="0069455D" w:rsidRDefault="00DC4181" w:rsidP="00DC4181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  <w:p w:rsidR="00DC4181" w:rsidRPr="0069455D" w:rsidRDefault="00DC4181" w:rsidP="00DC4181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  <w:p w:rsidR="00DC4181" w:rsidRPr="0069455D" w:rsidRDefault="00DC4181" w:rsidP="00C759F9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D24456" w:rsidRPr="0069455D" w:rsidTr="00780C9A">
        <w:tc>
          <w:tcPr>
            <w:tcW w:w="1377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47FFD" w:rsidRPr="0069455D" w:rsidRDefault="00946AC4" w:rsidP="002276C2">
            <w:pPr>
              <w:jc w:val="center"/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>ELA</w:t>
            </w:r>
            <w:r w:rsidR="002276C2">
              <w:rPr>
                <w:rFonts w:ascii="Arial" w:hAnsi="Arial" w:cs="Arial"/>
                <w:b/>
              </w:rPr>
              <w:t>/Literacy</w:t>
            </w:r>
            <w:r w:rsidRPr="0069455D">
              <w:rPr>
                <w:rFonts w:ascii="Arial" w:hAnsi="Arial" w:cs="Arial"/>
                <w:b/>
              </w:rPr>
              <w:t xml:space="preserve"> Common Core Standards</w:t>
            </w:r>
            <w:r w:rsidR="00E97D0B">
              <w:rPr>
                <w:rFonts w:ascii="Arial" w:hAnsi="Arial" w:cs="Arial"/>
                <w:b/>
              </w:rPr>
              <w:t xml:space="preserve"> </w:t>
            </w:r>
            <w:r w:rsidR="00CF4AB3">
              <w:rPr>
                <w:rFonts w:ascii="Arial" w:hAnsi="Arial" w:cs="Arial"/>
                <w:b/>
              </w:rPr>
              <w:t>a</w:t>
            </w:r>
            <w:r w:rsidR="00E97D0B">
              <w:rPr>
                <w:rFonts w:ascii="Arial" w:hAnsi="Arial" w:cs="Arial"/>
                <w:b/>
              </w:rPr>
              <w:t>ddressed</w:t>
            </w:r>
            <w:r w:rsidR="00CF4AB3">
              <w:rPr>
                <w:rFonts w:ascii="Arial" w:hAnsi="Arial" w:cs="Arial"/>
                <w:b/>
              </w:rPr>
              <w:t xml:space="preserve"> by t</w:t>
            </w:r>
            <w:r w:rsidR="00E97D0B">
              <w:rPr>
                <w:rFonts w:ascii="Arial" w:hAnsi="Arial" w:cs="Arial"/>
                <w:b/>
              </w:rPr>
              <w:t>ask</w:t>
            </w:r>
            <w:r w:rsidR="00DC4181" w:rsidRPr="0069455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AC4" w:rsidRPr="0069455D" w:rsidTr="00780C9A">
        <w:tc>
          <w:tcPr>
            <w:tcW w:w="13770" w:type="dxa"/>
            <w:gridSpan w:val="3"/>
            <w:shd w:val="clear" w:color="auto" w:fill="auto"/>
          </w:tcPr>
          <w:p w:rsidR="00270701" w:rsidRPr="002276C2" w:rsidRDefault="00270701" w:rsidP="00270701">
            <w:pPr>
              <w:pStyle w:val="NoSpacing"/>
              <w:rPr>
                <w:rFonts w:ascii="Arial" w:hAnsi="Arial" w:cs="Arial"/>
                <w:sz w:val="22"/>
              </w:rPr>
            </w:pPr>
            <w:r w:rsidRPr="002276C2">
              <w:rPr>
                <w:rFonts w:ascii="Arial" w:hAnsi="Arial" w:cs="Arial"/>
                <w:sz w:val="22"/>
              </w:rPr>
              <w:t xml:space="preserve">Reading:                  </w:t>
            </w:r>
          </w:p>
          <w:p w:rsidR="00270701" w:rsidRPr="002276C2" w:rsidRDefault="004B3DB1" w:rsidP="00326565">
            <w:pPr>
              <w:pStyle w:val="NoSpacing"/>
              <w:numPr>
                <w:ilvl w:val="0"/>
                <w:numId w:val="18"/>
              </w:numPr>
              <w:spacing w:after="240"/>
              <w:rPr>
                <w:rFonts w:ascii="Arial" w:hAnsi="Arial" w:cs="Arial"/>
                <w:sz w:val="22"/>
              </w:rPr>
            </w:pPr>
            <w:hyperlink r:id="rId6" w:history="1">
              <w:r w:rsidR="00270701" w:rsidRPr="002276C2">
                <w:rPr>
                  <w:rFonts w:ascii="Arial" w:hAnsi="Arial" w:cs="Arial"/>
                  <w:sz w:val="22"/>
                </w:rPr>
                <w:t>CCSS.ELA-Literacy.RH.11-12.1</w:t>
              </w:r>
            </w:hyperlink>
            <w:r w:rsidR="00326565" w:rsidRPr="002276C2">
              <w:rPr>
                <w:rFonts w:ascii="Arial" w:hAnsi="Arial" w:cs="Arial"/>
                <w:sz w:val="22"/>
              </w:rPr>
              <w:t>:  Cite specific textual evidence to support analysis of primary and secondary sources, connecting insights gained from specific details to an understanding of the text as a whole.</w:t>
            </w:r>
          </w:p>
          <w:p w:rsidR="002276C2" w:rsidRPr="002276C2" w:rsidRDefault="004B3DB1" w:rsidP="002276C2">
            <w:pPr>
              <w:numPr>
                <w:ilvl w:val="0"/>
                <w:numId w:val="18"/>
              </w:numPr>
              <w:pBdr>
                <w:right w:val="single" w:sz="6" w:space="6" w:color="E5D7D1"/>
              </w:pBdr>
              <w:shd w:val="clear" w:color="auto" w:fill="FFFFFF"/>
              <w:spacing w:before="100" w:beforeAutospacing="1" w:after="240" w:line="240" w:lineRule="atLeast"/>
              <w:ind w:right="345"/>
              <w:rPr>
                <w:rFonts w:ascii="Arial" w:eastAsia="Times New Roman" w:hAnsi="Arial" w:cs="Arial"/>
              </w:rPr>
            </w:pPr>
            <w:hyperlink r:id="rId7" w:history="1">
              <w:r w:rsidR="00270701" w:rsidRPr="002276C2">
                <w:rPr>
                  <w:rFonts w:ascii="Arial" w:eastAsia="Times New Roman" w:hAnsi="Arial" w:cs="Arial"/>
                </w:rPr>
                <w:t>CCSS.ELA-Literacy.RH.11-12.4</w:t>
              </w:r>
            </w:hyperlink>
            <w:r w:rsidR="00326565" w:rsidRPr="002276C2">
              <w:rPr>
                <w:rFonts w:ascii="Arial" w:eastAsia="Times New Roman" w:hAnsi="Arial" w:cs="Arial"/>
              </w:rPr>
              <w:t>:  Determine the meaning of words and phrases as they are used in a text, including analyzing how an author uses and refines the meaning of a key term over the course of a text (e.g., how Madison defines faction in Federalist No. 10).</w:t>
            </w:r>
            <w:r w:rsidR="002276C2" w:rsidRPr="002276C2">
              <w:rPr>
                <w:rFonts w:ascii="Arial" w:eastAsia="Times New Roman" w:hAnsi="Arial" w:cs="Arial"/>
              </w:rPr>
              <w:t>’</w:t>
            </w:r>
          </w:p>
          <w:p w:rsidR="002276C2" w:rsidRPr="002276C2" w:rsidRDefault="004B3DB1" w:rsidP="002276C2">
            <w:pPr>
              <w:numPr>
                <w:ilvl w:val="0"/>
                <w:numId w:val="18"/>
              </w:numPr>
              <w:pBdr>
                <w:right w:val="single" w:sz="6" w:space="6" w:color="E5D7D1"/>
              </w:pBdr>
              <w:shd w:val="clear" w:color="auto" w:fill="FFFFFF"/>
              <w:spacing w:before="100" w:beforeAutospacing="1" w:after="240" w:line="240" w:lineRule="atLeast"/>
              <w:ind w:right="345"/>
              <w:rPr>
                <w:rFonts w:ascii="Arial" w:eastAsia="Times New Roman" w:hAnsi="Arial" w:cs="Arial"/>
              </w:rPr>
            </w:pPr>
            <w:hyperlink r:id="rId8" w:history="1">
              <w:r w:rsidR="002276C2" w:rsidRPr="002276C2">
                <w:rPr>
                  <w:rStyle w:val="Hyperlink"/>
                  <w:rFonts w:ascii="Arial" w:hAnsi="Arial" w:cs="Arial"/>
                  <w:color w:val="auto"/>
                  <w:u w:val="none"/>
                </w:rPr>
                <w:t>CCSS.ELA-Literacy.RH.11-12.5</w:t>
              </w:r>
            </w:hyperlink>
            <w:r w:rsidR="002276C2" w:rsidRPr="002276C2">
              <w:rPr>
                <w:rStyle w:val="apple-converted-space"/>
                <w:rFonts w:ascii="Arial" w:hAnsi="Arial" w:cs="Arial"/>
              </w:rPr>
              <w:t> </w:t>
            </w:r>
            <w:r w:rsidR="002276C2" w:rsidRPr="002276C2">
              <w:rPr>
                <w:rFonts w:ascii="Arial" w:hAnsi="Arial" w:cs="Arial"/>
              </w:rPr>
              <w:t>Analyze in detail how a complex primary source is structured, including how key sentences, paragraphs, and larger portions of the text contribute to the whole.</w:t>
            </w:r>
          </w:p>
          <w:p w:rsidR="002276C2" w:rsidRPr="002276C2" w:rsidRDefault="00270701" w:rsidP="002276C2">
            <w:pPr>
              <w:pBdr>
                <w:right w:val="single" w:sz="6" w:space="6" w:color="E5D7D1"/>
              </w:pBdr>
              <w:shd w:val="clear" w:color="auto" w:fill="FFFFFF"/>
              <w:spacing w:before="100" w:beforeAutospacing="1" w:after="150"/>
              <w:ind w:right="345"/>
              <w:rPr>
                <w:rFonts w:ascii="Arial" w:eastAsia="Times New Roman" w:hAnsi="Arial" w:cs="Arial"/>
              </w:rPr>
            </w:pPr>
            <w:r w:rsidRPr="002276C2">
              <w:rPr>
                <w:rFonts w:ascii="Arial" w:eastAsia="Times New Roman" w:hAnsi="Arial" w:cs="Arial"/>
              </w:rPr>
              <w:t>Writing:</w:t>
            </w:r>
          </w:p>
          <w:p w:rsidR="002276C2" w:rsidRPr="002276C2" w:rsidRDefault="004B3DB1" w:rsidP="002276C2">
            <w:pPr>
              <w:pStyle w:val="ListParagraph"/>
              <w:numPr>
                <w:ilvl w:val="0"/>
                <w:numId w:val="24"/>
              </w:numPr>
              <w:pBdr>
                <w:right w:val="single" w:sz="6" w:space="6" w:color="E5D7D1"/>
              </w:pBdr>
              <w:shd w:val="clear" w:color="auto" w:fill="FFFFFF"/>
              <w:spacing w:before="100" w:beforeAutospacing="1" w:after="150"/>
              <w:ind w:right="345"/>
              <w:rPr>
                <w:rFonts w:ascii="Arial" w:eastAsia="Times New Roman" w:hAnsi="Arial" w:cs="Arial"/>
              </w:rPr>
            </w:pPr>
            <w:hyperlink r:id="rId9" w:history="1">
              <w:r w:rsidR="002276C2" w:rsidRPr="002276C2">
                <w:rPr>
                  <w:rStyle w:val="Hyperlink"/>
                  <w:rFonts w:ascii="Arial" w:hAnsi="Arial" w:cs="Arial"/>
                  <w:color w:val="auto"/>
                  <w:u w:val="none"/>
                </w:rPr>
                <w:t>CCSS.ELA-Literacy.WHST.11-12.2</w:t>
              </w:r>
            </w:hyperlink>
            <w:r w:rsidR="002276C2" w:rsidRPr="002276C2">
              <w:rPr>
                <w:rStyle w:val="apple-converted-space"/>
                <w:rFonts w:ascii="Arial" w:hAnsi="Arial" w:cs="Arial"/>
              </w:rPr>
              <w:t> </w:t>
            </w:r>
            <w:r w:rsidR="002276C2" w:rsidRPr="002276C2">
              <w:rPr>
                <w:rFonts w:ascii="Arial" w:hAnsi="Arial" w:cs="Arial"/>
              </w:rPr>
              <w:t>Write informative/explanatory texts, including the narration of historical events, scientific procedures/ experiments, or technical processes.</w:t>
            </w:r>
          </w:p>
          <w:p w:rsidR="00270701" w:rsidRPr="002276C2" w:rsidRDefault="004B3DB1" w:rsidP="00270701">
            <w:pPr>
              <w:pStyle w:val="ListParagraph"/>
              <w:numPr>
                <w:ilvl w:val="0"/>
                <w:numId w:val="24"/>
              </w:numPr>
              <w:pBdr>
                <w:right w:val="single" w:sz="6" w:space="6" w:color="E5D7D1"/>
              </w:pBdr>
              <w:shd w:val="clear" w:color="auto" w:fill="FFFFFF"/>
              <w:spacing w:before="100" w:beforeAutospacing="1" w:after="150"/>
              <w:ind w:right="345"/>
              <w:rPr>
                <w:rFonts w:ascii="Arial" w:eastAsia="Times New Roman" w:hAnsi="Arial" w:cs="Arial"/>
              </w:rPr>
            </w:pPr>
            <w:hyperlink r:id="rId10" w:history="1">
              <w:r w:rsidR="00270701" w:rsidRPr="002276C2">
                <w:rPr>
                  <w:rFonts w:ascii="Arial" w:hAnsi="Arial" w:cs="Arial"/>
                </w:rPr>
                <w:t>CCSS.ELA-Literacy.WHST.11-12.4</w:t>
              </w:r>
            </w:hyperlink>
            <w:r w:rsidR="00270701" w:rsidRPr="002276C2">
              <w:rPr>
                <w:rFonts w:ascii="Arial" w:hAnsi="Arial" w:cs="Arial"/>
              </w:rPr>
              <w:t xml:space="preserve">: Produce clear and coherent writing in which the development, organization, and style are </w:t>
            </w:r>
            <w:r w:rsidR="00270701" w:rsidRPr="002276C2">
              <w:rPr>
                <w:rFonts w:ascii="Arial" w:hAnsi="Arial" w:cs="Arial"/>
              </w:rPr>
              <w:lastRenderedPageBreak/>
              <w:t>appropriate to task, purpose, and audience.</w:t>
            </w:r>
          </w:p>
          <w:p w:rsidR="00946AC4" w:rsidRPr="0069455D" w:rsidRDefault="00946AC4" w:rsidP="002276C2">
            <w:pPr>
              <w:pStyle w:val="ListParagraph"/>
              <w:pBdr>
                <w:right w:val="single" w:sz="6" w:space="6" w:color="E5D7D1"/>
              </w:pBdr>
              <w:shd w:val="clear" w:color="auto" w:fill="FFFFFF"/>
              <w:spacing w:before="100" w:beforeAutospacing="1" w:after="150"/>
              <w:ind w:right="345"/>
              <w:rPr>
                <w:rFonts w:ascii="Arial" w:hAnsi="Arial" w:cs="Arial"/>
                <w:color w:val="FF0000"/>
              </w:rPr>
            </w:pPr>
          </w:p>
        </w:tc>
      </w:tr>
      <w:tr w:rsidR="00946AC4" w:rsidRPr="0069455D" w:rsidTr="00780C9A">
        <w:tc>
          <w:tcPr>
            <w:tcW w:w="13770" w:type="dxa"/>
            <w:gridSpan w:val="3"/>
            <w:shd w:val="clear" w:color="auto" w:fill="DBE5F1" w:themeFill="accent1" w:themeFillTint="33"/>
          </w:tcPr>
          <w:p w:rsidR="00946AC4" w:rsidRPr="0069455D" w:rsidRDefault="00946AC4" w:rsidP="00B47FFD">
            <w:pPr>
              <w:jc w:val="center"/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lastRenderedPageBreak/>
              <w:t>What</w:t>
            </w:r>
            <w:r w:rsidR="00B47FFD" w:rsidRPr="0069455D">
              <w:rPr>
                <w:rFonts w:ascii="Arial" w:hAnsi="Arial" w:cs="Arial"/>
                <w:b/>
              </w:rPr>
              <w:t xml:space="preserve"> key insights should students take </w:t>
            </w:r>
            <w:r w:rsidRPr="0069455D">
              <w:rPr>
                <w:rFonts w:ascii="Arial" w:hAnsi="Arial" w:cs="Arial"/>
                <w:b/>
              </w:rPr>
              <w:t>from this text?</w:t>
            </w:r>
          </w:p>
        </w:tc>
      </w:tr>
      <w:tr w:rsidR="00946AC4" w:rsidRPr="0069455D" w:rsidTr="00780C9A">
        <w:tc>
          <w:tcPr>
            <w:tcW w:w="13770" w:type="dxa"/>
            <w:gridSpan w:val="3"/>
            <w:shd w:val="clear" w:color="auto" w:fill="FFFFFF" w:themeFill="background1"/>
          </w:tcPr>
          <w:p w:rsidR="00DC4181" w:rsidRPr="0069455D" w:rsidRDefault="00BB4DA8" w:rsidP="00DC418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Recognize the complexity of Dr. King’s statements</w:t>
            </w:r>
          </w:p>
          <w:p w:rsidR="00DC4181" w:rsidRPr="0069455D" w:rsidRDefault="00BB4DA8" w:rsidP="00DC418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Recognize how vocabulary and tone are intertwined</w:t>
            </w:r>
          </w:p>
          <w:p w:rsidR="00DC4181" w:rsidRPr="0069455D" w:rsidRDefault="00BB4DA8" w:rsidP="00DC4181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Explain the meaning of the statement</w:t>
            </w:r>
            <w:r w:rsidR="00F94C3E" w:rsidRPr="0069455D">
              <w:rPr>
                <w:rFonts w:ascii="Arial" w:hAnsi="Arial" w:cs="Arial"/>
                <w:sz w:val="22"/>
              </w:rPr>
              <w:t>,</w:t>
            </w:r>
            <w:r w:rsidRPr="0069455D">
              <w:rPr>
                <w:rFonts w:ascii="Arial" w:hAnsi="Arial" w:cs="Arial"/>
                <w:sz w:val="22"/>
              </w:rPr>
              <w:t xml:space="preserve"> “injustice anywhere is a threat to justice everywhere”.</w:t>
            </w:r>
          </w:p>
          <w:p w:rsidR="00946AC4" w:rsidRPr="0069455D" w:rsidRDefault="00946AC4" w:rsidP="00571239">
            <w:pPr>
              <w:jc w:val="center"/>
              <w:rPr>
                <w:rFonts w:ascii="Arial" w:hAnsi="Arial" w:cs="Arial"/>
                <w:b/>
              </w:rPr>
            </w:pPr>
          </w:p>
          <w:p w:rsidR="00946AC4" w:rsidRPr="0069455D" w:rsidRDefault="00946AC4" w:rsidP="00571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AC4" w:rsidRPr="0069455D" w:rsidTr="00780C9A">
        <w:tc>
          <w:tcPr>
            <w:tcW w:w="13770" w:type="dxa"/>
            <w:gridSpan w:val="3"/>
            <w:shd w:val="clear" w:color="auto" w:fill="DBE5F1" w:themeFill="accent1" w:themeFillTint="33"/>
          </w:tcPr>
          <w:p w:rsidR="00946AC4" w:rsidRPr="0069455D" w:rsidRDefault="00946AC4" w:rsidP="00571239">
            <w:pPr>
              <w:jc w:val="center"/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 xml:space="preserve">Text-Dependent Questions </w:t>
            </w:r>
          </w:p>
        </w:tc>
      </w:tr>
      <w:tr w:rsidR="00946AC4" w:rsidRPr="0069455D" w:rsidTr="00780C9A">
        <w:trPr>
          <w:trHeight w:val="1412"/>
        </w:trPr>
        <w:tc>
          <w:tcPr>
            <w:tcW w:w="13770" w:type="dxa"/>
            <w:gridSpan w:val="3"/>
          </w:tcPr>
          <w:p w:rsidR="00946AC4" w:rsidRPr="0069455D" w:rsidRDefault="00DC7DEE" w:rsidP="00DC7D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9455D">
              <w:rPr>
                <w:rFonts w:ascii="Arial" w:hAnsi="Arial" w:cs="Arial"/>
              </w:rPr>
              <w:t xml:space="preserve">According to the text, </w:t>
            </w:r>
            <w:r w:rsidR="00F71770" w:rsidRPr="0069455D">
              <w:rPr>
                <w:rFonts w:ascii="Arial" w:hAnsi="Arial" w:cs="Arial"/>
              </w:rPr>
              <w:t xml:space="preserve">who was Dr. King’s audience and </w:t>
            </w:r>
            <w:r w:rsidRPr="0069455D">
              <w:rPr>
                <w:rFonts w:ascii="Arial" w:hAnsi="Arial" w:cs="Arial"/>
              </w:rPr>
              <w:t xml:space="preserve">why was </w:t>
            </w:r>
            <w:r w:rsidR="002276C2">
              <w:rPr>
                <w:rFonts w:ascii="Arial" w:hAnsi="Arial" w:cs="Arial"/>
              </w:rPr>
              <w:t xml:space="preserve">he </w:t>
            </w:r>
            <w:r w:rsidR="00F71770" w:rsidRPr="0069455D">
              <w:rPr>
                <w:rFonts w:ascii="Arial" w:hAnsi="Arial" w:cs="Arial"/>
              </w:rPr>
              <w:t>writing to them</w:t>
            </w:r>
            <w:r w:rsidRPr="0069455D">
              <w:rPr>
                <w:rFonts w:ascii="Arial" w:hAnsi="Arial" w:cs="Arial"/>
              </w:rPr>
              <w:t xml:space="preserve"> from a Birmingham jail?</w:t>
            </w:r>
          </w:p>
          <w:p w:rsidR="00F71770" w:rsidRPr="0069455D" w:rsidRDefault="00F71770" w:rsidP="00DC7D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9455D">
              <w:rPr>
                <w:rFonts w:ascii="Arial" w:hAnsi="Arial" w:cs="Arial"/>
              </w:rPr>
              <w:t>The concept of “interconnectedness” is present throughout the letter. Cite two examples of this concept and explain why Dr. King chose to include them in the letter.</w:t>
            </w:r>
          </w:p>
          <w:p w:rsidR="00F71770" w:rsidRPr="0069455D" w:rsidRDefault="00C667D4" w:rsidP="00DC7D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9455D">
              <w:rPr>
                <w:rFonts w:ascii="Arial" w:hAnsi="Arial" w:cs="Arial"/>
              </w:rPr>
              <w:t>Why does Dr. King outline the procedures taken in nonviolent campaigns? Cite examples of each from the text and its purpose.</w:t>
            </w:r>
          </w:p>
          <w:p w:rsidR="00C2560B" w:rsidRPr="0069455D" w:rsidRDefault="00C2560B" w:rsidP="00DC7D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9455D">
              <w:rPr>
                <w:rFonts w:ascii="Arial" w:hAnsi="Arial" w:cs="Arial"/>
              </w:rPr>
              <w:t>How does Dr. King define justice and injustice? Give an example from his letter of each.</w:t>
            </w:r>
          </w:p>
          <w:p w:rsidR="00C2560B" w:rsidRPr="0069455D" w:rsidRDefault="00C2560B" w:rsidP="00DC7D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9455D">
              <w:rPr>
                <w:rFonts w:ascii="Arial" w:hAnsi="Arial" w:cs="Arial"/>
              </w:rPr>
              <w:t>What is the author’s tone in regards to what is just and unjust? Cite specific examples from the text to support your position.</w:t>
            </w:r>
          </w:p>
          <w:p w:rsidR="008E5BD2" w:rsidRPr="0069455D" w:rsidRDefault="008E5BD2" w:rsidP="00DC7D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9455D">
              <w:rPr>
                <w:rFonts w:ascii="Arial" w:hAnsi="Arial" w:cs="Arial"/>
              </w:rPr>
              <w:t>After reading the entire letter, what inferences can be made about Dr. King’s mood a</w:t>
            </w:r>
            <w:r w:rsidR="002276C2">
              <w:rPr>
                <w:rFonts w:ascii="Arial" w:hAnsi="Arial" w:cs="Arial"/>
              </w:rPr>
              <w:t>s he sat in the Birmingham jail?</w:t>
            </w:r>
            <w:r w:rsidRPr="0069455D">
              <w:rPr>
                <w:rFonts w:ascii="Arial" w:hAnsi="Arial" w:cs="Arial"/>
              </w:rPr>
              <w:t xml:space="preserve">  Support your position with evidence from the text.</w:t>
            </w:r>
          </w:p>
          <w:p w:rsidR="00946AC4" w:rsidRPr="0069455D" w:rsidRDefault="00946AC4" w:rsidP="00571239">
            <w:pPr>
              <w:jc w:val="center"/>
              <w:rPr>
                <w:rFonts w:ascii="Arial" w:hAnsi="Arial" w:cs="Arial"/>
              </w:rPr>
            </w:pPr>
          </w:p>
        </w:tc>
      </w:tr>
      <w:tr w:rsidR="00B47FFD" w:rsidRPr="0069455D" w:rsidTr="00780C9A">
        <w:tc>
          <w:tcPr>
            <w:tcW w:w="4843" w:type="dxa"/>
            <w:gridSpan w:val="2"/>
            <w:shd w:val="clear" w:color="auto" w:fill="DBE5F1" w:themeFill="accent1" w:themeFillTint="33"/>
          </w:tcPr>
          <w:p w:rsidR="00B47FFD" w:rsidRPr="0069455D" w:rsidRDefault="00B47FFD" w:rsidP="00571239">
            <w:pPr>
              <w:jc w:val="center"/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>Writing Mode</w:t>
            </w:r>
          </w:p>
        </w:tc>
        <w:tc>
          <w:tcPr>
            <w:tcW w:w="8927" w:type="dxa"/>
            <w:shd w:val="clear" w:color="auto" w:fill="DBE5F1" w:themeFill="accent1" w:themeFillTint="33"/>
          </w:tcPr>
          <w:p w:rsidR="00B47FFD" w:rsidRPr="0069455D" w:rsidRDefault="00B47FFD" w:rsidP="00571239">
            <w:pPr>
              <w:jc w:val="center"/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>Writing Prompt</w:t>
            </w:r>
          </w:p>
        </w:tc>
      </w:tr>
      <w:tr w:rsidR="00B47FFD" w:rsidRPr="0069455D" w:rsidTr="00780C9A">
        <w:trPr>
          <w:trHeight w:val="1358"/>
        </w:trPr>
        <w:tc>
          <w:tcPr>
            <w:tcW w:w="4843" w:type="dxa"/>
            <w:gridSpan w:val="2"/>
          </w:tcPr>
          <w:p w:rsidR="008E5BD2" w:rsidRPr="0069455D" w:rsidRDefault="008E5BD2" w:rsidP="00DC4181">
            <w:pPr>
              <w:rPr>
                <w:rFonts w:ascii="Arial" w:hAnsi="Arial" w:cs="Arial"/>
                <w:b/>
              </w:rPr>
            </w:pPr>
            <w:r w:rsidRPr="0069455D">
              <w:rPr>
                <w:rFonts w:ascii="Arial" w:hAnsi="Arial" w:cs="Arial"/>
                <w:b/>
              </w:rPr>
              <w:t>Informative/Explanatory</w:t>
            </w:r>
          </w:p>
          <w:p w:rsidR="008E5BD2" w:rsidRPr="0069455D" w:rsidRDefault="008E5BD2" w:rsidP="00DC418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927" w:type="dxa"/>
          </w:tcPr>
          <w:p w:rsidR="00B47FFD" w:rsidRPr="0069455D" w:rsidRDefault="008E5BD2" w:rsidP="008E5BD2">
            <w:pPr>
              <w:pStyle w:val="NoSpacing"/>
              <w:rPr>
                <w:rFonts w:ascii="Arial" w:hAnsi="Arial" w:cs="Arial"/>
                <w:color w:val="FF0000"/>
                <w:sz w:val="22"/>
              </w:rPr>
            </w:pPr>
            <w:r w:rsidRPr="0069455D">
              <w:rPr>
                <w:rFonts w:ascii="Arial" w:hAnsi="Arial" w:cs="Arial"/>
                <w:sz w:val="22"/>
              </w:rPr>
              <w:t>Dr. King sta</w:t>
            </w:r>
            <w:r w:rsidR="00253F9A" w:rsidRPr="0069455D">
              <w:rPr>
                <w:rFonts w:ascii="Arial" w:hAnsi="Arial" w:cs="Arial"/>
                <w:sz w:val="22"/>
              </w:rPr>
              <w:t>ted that “an injustice anywhere</w:t>
            </w:r>
            <w:r w:rsidRPr="0069455D">
              <w:rPr>
                <w:rFonts w:ascii="Arial" w:hAnsi="Arial" w:cs="Arial"/>
                <w:sz w:val="22"/>
              </w:rPr>
              <w:t xml:space="preserve"> is a threat to justice everywhere”</w:t>
            </w:r>
            <w:r w:rsidR="00DC4181" w:rsidRPr="0069455D">
              <w:rPr>
                <w:rFonts w:ascii="Arial" w:hAnsi="Arial" w:cs="Arial"/>
                <w:sz w:val="22"/>
              </w:rPr>
              <w:t>.</w:t>
            </w:r>
            <w:r w:rsidRPr="0069455D">
              <w:rPr>
                <w:rFonts w:ascii="Arial" w:hAnsi="Arial" w:cs="Arial"/>
                <w:sz w:val="22"/>
              </w:rPr>
              <w:t xml:space="preserve"> What was Dr. King’s p</w:t>
            </w:r>
            <w:r w:rsidR="002276C2">
              <w:rPr>
                <w:rFonts w:ascii="Arial" w:hAnsi="Arial" w:cs="Arial"/>
                <w:sz w:val="22"/>
              </w:rPr>
              <w:t>urpose in making this statement?</w:t>
            </w:r>
            <w:r w:rsidRPr="0069455D">
              <w:rPr>
                <w:rFonts w:ascii="Arial" w:hAnsi="Arial" w:cs="Arial"/>
                <w:sz w:val="22"/>
              </w:rPr>
              <w:t xml:space="preserve">  Referring to the text, cite examples of the “injustices” he speaks of and the connections made to “elsewhere</w:t>
            </w:r>
            <w:r w:rsidR="002276C2">
              <w:rPr>
                <w:rFonts w:ascii="Arial" w:hAnsi="Arial" w:cs="Arial"/>
                <w:sz w:val="22"/>
              </w:rPr>
              <w:t>.”</w:t>
            </w:r>
            <w:r w:rsidRPr="0069455D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882CE0" w:rsidRPr="0069455D" w:rsidRDefault="00882CE0" w:rsidP="004423D6">
      <w:pPr>
        <w:pStyle w:val="NoSpacing"/>
        <w:rPr>
          <w:rFonts w:ascii="Arial" w:hAnsi="Arial" w:cs="Arial"/>
          <w:sz w:val="22"/>
        </w:rPr>
      </w:pPr>
    </w:p>
    <w:p w:rsidR="00F6232D" w:rsidRPr="0069455D" w:rsidRDefault="00F6232D" w:rsidP="00F6232D">
      <w:pPr>
        <w:pStyle w:val="NoSpacing"/>
        <w:rPr>
          <w:rFonts w:ascii="Arial" w:hAnsi="Arial" w:cs="Arial"/>
          <w:b/>
          <w:sz w:val="22"/>
        </w:rPr>
      </w:pPr>
      <w:r w:rsidRPr="0069455D">
        <w:rPr>
          <w:rFonts w:ascii="Arial" w:hAnsi="Arial" w:cs="Arial"/>
          <w:b/>
          <w:sz w:val="22"/>
        </w:rPr>
        <w:t>Scaffolding and support for special education students, English language learners, and struggling readers:</w:t>
      </w:r>
    </w:p>
    <w:p w:rsidR="00F6232D" w:rsidRPr="0069455D" w:rsidRDefault="00F6232D" w:rsidP="00F6232D">
      <w:pPr>
        <w:pStyle w:val="NoSpacing"/>
        <w:rPr>
          <w:rFonts w:ascii="Arial" w:hAnsi="Arial" w:cs="Arial"/>
          <w:sz w:val="22"/>
        </w:rPr>
      </w:pPr>
      <w:r w:rsidRPr="0069455D">
        <w:rPr>
          <w:rFonts w:ascii="Arial" w:hAnsi="Arial" w:cs="Arial"/>
          <w:b/>
          <w:sz w:val="22"/>
        </w:rPr>
        <w:t>•</w:t>
      </w:r>
      <w:r w:rsidRPr="0069455D">
        <w:rPr>
          <w:rFonts w:ascii="Arial" w:hAnsi="Arial" w:cs="Arial"/>
          <w:b/>
          <w:sz w:val="22"/>
        </w:rPr>
        <w:tab/>
      </w:r>
      <w:r w:rsidRPr="0069455D">
        <w:rPr>
          <w:rFonts w:ascii="Arial" w:hAnsi="Arial" w:cs="Arial"/>
          <w:sz w:val="22"/>
        </w:rPr>
        <w:t xml:space="preserve">Students supported </w:t>
      </w:r>
      <w:r w:rsidR="002276C2">
        <w:rPr>
          <w:rFonts w:ascii="Arial" w:hAnsi="Arial" w:cs="Arial"/>
          <w:sz w:val="22"/>
        </w:rPr>
        <w:t>with instruction in</w:t>
      </w:r>
      <w:r w:rsidRPr="0069455D">
        <w:rPr>
          <w:rFonts w:ascii="Arial" w:hAnsi="Arial" w:cs="Arial"/>
          <w:sz w:val="22"/>
        </w:rPr>
        <w:t xml:space="preserve"> Tier 2 vocabulary  </w:t>
      </w:r>
    </w:p>
    <w:p w:rsidR="00F6232D" w:rsidRPr="0069455D" w:rsidRDefault="00F6232D" w:rsidP="00F6232D">
      <w:pPr>
        <w:pStyle w:val="NoSpacing"/>
        <w:rPr>
          <w:rFonts w:ascii="Arial" w:hAnsi="Arial" w:cs="Arial"/>
          <w:sz w:val="22"/>
        </w:rPr>
      </w:pPr>
      <w:r w:rsidRPr="0069455D">
        <w:rPr>
          <w:rFonts w:ascii="Arial" w:hAnsi="Arial" w:cs="Arial"/>
          <w:sz w:val="22"/>
        </w:rPr>
        <w:t>•</w:t>
      </w:r>
      <w:r w:rsidRPr="0069455D">
        <w:rPr>
          <w:rFonts w:ascii="Arial" w:hAnsi="Arial" w:cs="Arial"/>
          <w:sz w:val="22"/>
        </w:rPr>
        <w:tab/>
        <w:t>Students may:</w:t>
      </w:r>
    </w:p>
    <w:p w:rsidR="00F6232D" w:rsidRPr="0069455D" w:rsidRDefault="00F6232D" w:rsidP="00F6232D">
      <w:pPr>
        <w:pStyle w:val="NoSpacing"/>
        <w:ind w:firstLine="720"/>
        <w:rPr>
          <w:rFonts w:ascii="Arial" w:hAnsi="Arial" w:cs="Arial"/>
          <w:sz w:val="22"/>
        </w:rPr>
      </w:pPr>
      <w:proofErr w:type="gramStart"/>
      <w:r w:rsidRPr="0069455D">
        <w:rPr>
          <w:rFonts w:ascii="Arial" w:hAnsi="Arial" w:cs="Arial"/>
          <w:sz w:val="22"/>
        </w:rPr>
        <w:t>o</w:t>
      </w:r>
      <w:proofErr w:type="gramEnd"/>
      <w:r w:rsidRPr="0069455D">
        <w:rPr>
          <w:rFonts w:ascii="Arial" w:hAnsi="Arial" w:cs="Arial"/>
          <w:sz w:val="22"/>
        </w:rPr>
        <w:tab/>
        <w:t>Read individually and notate as they read</w:t>
      </w:r>
    </w:p>
    <w:p w:rsidR="00F6232D" w:rsidRPr="0069455D" w:rsidRDefault="00F6232D" w:rsidP="00F6232D">
      <w:pPr>
        <w:pStyle w:val="NoSpacing"/>
        <w:ind w:firstLine="720"/>
        <w:rPr>
          <w:rFonts w:ascii="Arial" w:hAnsi="Arial" w:cs="Arial"/>
          <w:sz w:val="22"/>
        </w:rPr>
      </w:pPr>
      <w:proofErr w:type="gramStart"/>
      <w:r w:rsidRPr="0069455D">
        <w:rPr>
          <w:rFonts w:ascii="Arial" w:hAnsi="Arial" w:cs="Arial"/>
          <w:sz w:val="22"/>
        </w:rPr>
        <w:t>o</w:t>
      </w:r>
      <w:proofErr w:type="gramEnd"/>
      <w:r w:rsidRPr="0069455D">
        <w:rPr>
          <w:rFonts w:ascii="Arial" w:hAnsi="Arial" w:cs="Arial"/>
          <w:sz w:val="22"/>
        </w:rPr>
        <w:tab/>
      </w:r>
      <w:r w:rsidR="002276C2">
        <w:rPr>
          <w:rFonts w:ascii="Arial" w:hAnsi="Arial" w:cs="Arial"/>
          <w:sz w:val="22"/>
        </w:rPr>
        <w:t>R</w:t>
      </w:r>
      <w:r w:rsidRPr="0069455D">
        <w:rPr>
          <w:rFonts w:ascii="Arial" w:hAnsi="Arial" w:cs="Arial"/>
          <w:sz w:val="22"/>
        </w:rPr>
        <w:t>ead aloud (popcorn read)</w:t>
      </w:r>
    </w:p>
    <w:p w:rsidR="00F6232D" w:rsidRPr="0069455D" w:rsidRDefault="00F6232D" w:rsidP="00F6232D">
      <w:pPr>
        <w:pStyle w:val="NoSpacing"/>
        <w:ind w:firstLine="720"/>
        <w:rPr>
          <w:rFonts w:ascii="Arial" w:hAnsi="Arial" w:cs="Arial"/>
          <w:sz w:val="22"/>
        </w:rPr>
      </w:pPr>
      <w:proofErr w:type="gramStart"/>
      <w:r w:rsidRPr="0069455D">
        <w:rPr>
          <w:rFonts w:ascii="Arial" w:hAnsi="Arial" w:cs="Arial"/>
          <w:sz w:val="22"/>
        </w:rPr>
        <w:t>o</w:t>
      </w:r>
      <w:proofErr w:type="gramEnd"/>
      <w:r w:rsidRPr="0069455D">
        <w:rPr>
          <w:rFonts w:ascii="Arial" w:hAnsi="Arial" w:cs="Arial"/>
          <w:sz w:val="22"/>
        </w:rPr>
        <w:tab/>
        <w:t>Break sections down during small group work (ex. pair-share)</w:t>
      </w:r>
    </w:p>
    <w:p w:rsidR="00F6232D" w:rsidRPr="0069455D" w:rsidRDefault="00F6232D" w:rsidP="00F6232D">
      <w:pPr>
        <w:pStyle w:val="NoSpacing"/>
        <w:ind w:firstLine="720"/>
        <w:rPr>
          <w:rFonts w:ascii="Arial" w:hAnsi="Arial" w:cs="Arial"/>
          <w:sz w:val="22"/>
        </w:rPr>
      </w:pPr>
      <w:proofErr w:type="gramStart"/>
      <w:r w:rsidRPr="0069455D">
        <w:rPr>
          <w:rFonts w:ascii="Arial" w:hAnsi="Arial" w:cs="Arial"/>
          <w:sz w:val="22"/>
        </w:rPr>
        <w:t>o</w:t>
      </w:r>
      <w:proofErr w:type="gramEnd"/>
      <w:r w:rsidRPr="0069455D">
        <w:rPr>
          <w:rFonts w:ascii="Arial" w:hAnsi="Arial" w:cs="Arial"/>
          <w:sz w:val="22"/>
        </w:rPr>
        <w:tab/>
        <w:t>Follow up with whole class work</w:t>
      </w:r>
    </w:p>
    <w:p w:rsidR="00F6232D" w:rsidRPr="0069455D" w:rsidRDefault="00F6232D" w:rsidP="004423D6">
      <w:pPr>
        <w:pStyle w:val="NoSpacing"/>
        <w:rPr>
          <w:rFonts w:ascii="Arial" w:hAnsi="Arial" w:cs="Arial"/>
          <w:b/>
          <w:color w:val="FF0000"/>
          <w:sz w:val="22"/>
        </w:rPr>
      </w:pPr>
    </w:p>
    <w:p w:rsidR="004D770B" w:rsidRPr="0069455D" w:rsidRDefault="004D770B" w:rsidP="004423D6">
      <w:pPr>
        <w:pStyle w:val="NoSpacing"/>
        <w:rPr>
          <w:rFonts w:ascii="Arial" w:hAnsi="Arial" w:cs="Arial"/>
          <w:b/>
          <w:sz w:val="22"/>
        </w:rPr>
      </w:pPr>
      <w:r w:rsidRPr="0069455D">
        <w:rPr>
          <w:rFonts w:ascii="Arial" w:hAnsi="Arial" w:cs="Arial"/>
          <w:b/>
          <w:sz w:val="22"/>
        </w:rPr>
        <w:t xml:space="preserve">How this task supports the content standards for </w:t>
      </w:r>
      <w:r w:rsidR="00FD3B4A" w:rsidRPr="0069455D">
        <w:rPr>
          <w:rFonts w:ascii="Arial" w:hAnsi="Arial" w:cs="Arial"/>
          <w:b/>
          <w:sz w:val="22"/>
        </w:rPr>
        <w:t xml:space="preserve">relevant </w:t>
      </w:r>
      <w:r w:rsidRPr="0069455D">
        <w:rPr>
          <w:rFonts w:ascii="Arial" w:hAnsi="Arial" w:cs="Arial"/>
          <w:b/>
          <w:sz w:val="22"/>
        </w:rPr>
        <w:t xml:space="preserve">subject area courses in </w:t>
      </w:r>
      <w:r w:rsidR="00FD3B4A" w:rsidRPr="0069455D">
        <w:rPr>
          <w:rFonts w:ascii="Arial" w:hAnsi="Arial" w:cs="Arial"/>
          <w:b/>
          <w:sz w:val="22"/>
        </w:rPr>
        <w:t xml:space="preserve">this </w:t>
      </w:r>
      <w:r w:rsidRPr="0069455D">
        <w:rPr>
          <w:rFonts w:ascii="Arial" w:hAnsi="Arial" w:cs="Arial"/>
          <w:b/>
          <w:sz w:val="22"/>
        </w:rPr>
        <w:t>grade band</w:t>
      </w:r>
    </w:p>
    <w:p w:rsidR="002276C2" w:rsidRDefault="00F6232D" w:rsidP="004D770B">
      <w:pPr>
        <w:pStyle w:val="NoSpacing"/>
        <w:numPr>
          <w:ilvl w:val="0"/>
          <w:numId w:val="21"/>
        </w:numPr>
        <w:rPr>
          <w:rFonts w:ascii="Arial" w:hAnsi="Arial" w:cs="Arial"/>
          <w:sz w:val="22"/>
        </w:rPr>
      </w:pPr>
      <w:r w:rsidRPr="0069455D">
        <w:rPr>
          <w:rFonts w:ascii="Arial" w:hAnsi="Arial" w:cs="Arial"/>
          <w:sz w:val="22"/>
        </w:rPr>
        <w:t xml:space="preserve">This task is appropriate for U.S. History courses for students in grades 11-12. </w:t>
      </w:r>
    </w:p>
    <w:p w:rsidR="00F6232D" w:rsidRPr="002276C2" w:rsidRDefault="00F6232D" w:rsidP="002276C2">
      <w:pPr>
        <w:pStyle w:val="NoSpacing"/>
        <w:numPr>
          <w:ilvl w:val="0"/>
          <w:numId w:val="21"/>
        </w:numPr>
        <w:rPr>
          <w:rFonts w:ascii="Arial" w:hAnsi="Arial" w:cs="Arial"/>
          <w:sz w:val="22"/>
        </w:rPr>
      </w:pPr>
      <w:r w:rsidRPr="0069455D">
        <w:rPr>
          <w:rFonts w:ascii="Arial" w:hAnsi="Arial" w:cs="Arial"/>
          <w:sz w:val="22"/>
        </w:rPr>
        <w:t xml:space="preserve">This task would allow for a close read of </w:t>
      </w:r>
      <w:r w:rsidR="002276C2">
        <w:rPr>
          <w:rFonts w:ascii="Arial" w:hAnsi="Arial" w:cs="Arial"/>
          <w:sz w:val="22"/>
        </w:rPr>
        <w:t>a primary source document</w:t>
      </w:r>
      <w:r w:rsidRPr="0069455D">
        <w:rPr>
          <w:rFonts w:ascii="Arial" w:hAnsi="Arial" w:cs="Arial"/>
          <w:sz w:val="22"/>
        </w:rPr>
        <w:t xml:space="preserve"> key to the history of the U.S.</w:t>
      </w:r>
    </w:p>
    <w:p w:rsidR="007A20D3" w:rsidRPr="0069455D" w:rsidRDefault="007A20D3" w:rsidP="002C703E">
      <w:pPr>
        <w:pStyle w:val="NoSpacing"/>
        <w:ind w:left="1440"/>
        <w:rPr>
          <w:rFonts w:ascii="Arial" w:hAnsi="Arial" w:cs="Arial"/>
          <w:sz w:val="22"/>
        </w:rPr>
      </w:pPr>
    </w:p>
    <w:sectPr w:rsidR="007A20D3" w:rsidRPr="0069455D" w:rsidSect="00571239">
      <w:pgSz w:w="15840" w:h="12240" w:orient="landscape" w:code="1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E0D"/>
    <w:multiLevelType w:val="hybridMultilevel"/>
    <w:tmpl w:val="5724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308C"/>
    <w:multiLevelType w:val="hybridMultilevel"/>
    <w:tmpl w:val="DDFE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401A"/>
    <w:multiLevelType w:val="hybridMultilevel"/>
    <w:tmpl w:val="AF04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47B4D"/>
    <w:multiLevelType w:val="hybridMultilevel"/>
    <w:tmpl w:val="515EF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945CDC"/>
    <w:multiLevelType w:val="hybridMultilevel"/>
    <w:tmpl w:val="4254DCE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934117E"/>
    <w:multiLevelType w:val="hybridMultilevel"/>
    <w:tmpl w:val="8562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63E7D"/>
    <w:multiLevelType w:val="multilevel"/>
    <w:tmpl w:val="F5CE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C762D"/>
    <w:multiLevelType w:val="hybridMultilevel"/>
    <w:tmpl w:val="4448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4A56"/>
    <w:multiLevelType w:val="hybridMultilevel"/>
    <w:tmpl w:val="32D2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74219"/>
    <w:multiLevelType w:val="hybridMultilevel"/>
    <w:tmpl w:val="0DB084E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384615BA"/>
    <w:multiLevelType w:val="multilevel"/>
    <w:tmpl w:val="5CC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D53C7"/>
    <w:multiLevelType w:val="hybridMultilevel"/>
    <w:tmpl w:val="69B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55128"/>
    <w:multiLevelType w:val="hybridMultilevel"/>
    <w:tmpl w:val="4356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439A3"/>
    <w:multiLevelType w:val="hybridMultilevel"/>
    <w:tmpl w:val="B8CC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72EF8"/>
    <w:multiLevelType w:val="hybridMultilevel"/>
    <w:tmpl w:val="CC7A0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937C7"/>
    <w:multiLevelType w:val="hybridMultilevel"/>
    <w:tmpl w:val="40823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50B73"/>
    <w:multiLevelType w:val="hybridMultilevel"/>
    <w:tmpl w:val="E83CE97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5AF479A2"/>
    <w:multiLevelType w:val="hybridMultilevel"/>
    <w:tmpl w:val="8AA0A1DA"/>
    <w:lvl w:ilvl="0" w:tplc="FA844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5A4F95"/>
    <w:multiLevelType w:val="multilevel"/>
    <w:tmpl w:val="92BC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717E5"/>
    <w:multiLevelType w:val="multilevel"/>
    <w:tmpl w:val="CBC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4E7049"/>
    <w:multiLevelType w:val="hybridMultilevel"/>
    <w:tmpl w:val="CF46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D7ECD"/>
    <w:multiLevelType w:val="hybridMultilevel"/>
    <w:tmpl w:val="AB4C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714AB"/>
    <w:multiLevelType w:val="hybridMultilevel"/>
    <w:tmpl w:val="7CA2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816C1"/>
    <w:multiLevelType w:val="hybridMultilevel"/>
    <w:tmpl w:val="FAC4E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4D6"/>
    <w:multiLevelType w:val="hybridMultilevel"/>
    <w:tmpl w:val="4F6688FA"/>
    <w:lvl w:ilvl="0" w:tplc="F7B8E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8F7701"/>
    <w:multiLevelType w:val="hybridMultilevel"/>
    <w:tmpl w:val="4448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21"/>
  </w:num>
  <w:num w:numId="5">
    <w:abstractNumId w:val="24"/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7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4"/>
  </w:num>
  <w:num w:numId="17">
    <w:abstractNumId w:val="9"/>
  </w:num>
  <w:num w:numId="18">
    <w:abstractNumId w:val="13"/>
  </w:num>
  <w:num w:numId="19">
    <w:abstractNumId w:val="11"/>
  </w:num>
  <w:num w:numId="20">
    <w:abstractNumId w:val="2"/>
  </w:num>
  <w:num w:numId="21">
    <w:abstractNumId w:val="0"/>
  </w:num>
  <w:num w:numId="22">
    <w:abstractNumId w:val="6"/>
  </w:num>
  <w:num w:numId="23">
    <w:abstractNumId w:val="19"/>
  </w:num>
  <w:num w:numId="24">
    <w:abstractNumId w:val="5"/>
  </w:num>
  <w:num w:numId="25">
    <w:abstractNumId w:val="20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4456"/>
    <w:rsid w:val="00005C97"/>
    <w:rsid w:val="000238F5"/>
    <w:rsid w:val="000808A0"/>
    <w:rsid w:val="000A178D"/>
    <w:rsid w:val="000F426E"/>
    <w:rsid w:val="000F5986"/>
    <w:rsid w:val="00223141"/>
    <w:rsid w:val="00226E24"/>
    <w:rsid w:val="002276C2"/>
    <w:rsid w:val="00241FB0"/>
    <w:rsid w:val="00253F9A"/>
    <w:rsid w:val="00270701"/>
    <w:rsid w:val="002813AC"/>
    <w:rsid w:val="002A36A8"/>
    <w:rsid w:val="002C703E"/>
    <w:rsid w:val="00326565"/>
    <w:rsid w:val="004423D6"/>
    <w:rsid w:val="004B0E4B"/>
    <w:rsid w:val="004B3DB1"/>
    <w:rsid w:val="004C39AD"/>
    <w:rsid w:val="004D770B"/>
    <w:rsid w:val="005012F5"/>
    <w:rsid w:val="00571239"/>
    <w:rsid w:val="0069455D"/>
    <w:rsid w:val="006C5B83"/>
    <w:rsid w:val="006F07EF"/>
    <w:rsid w:val="00711FC0"/>
    <w:rsid w:val="00721A66"/>
    <w:rsid w:val="007408FA"/>
    <w:rsid w:val="00742799"/>
    <w:rsid w:val="00780C9A"/>
    <w:rsid w:val="007A20D3"/>
    <w:rsid w:val="007B132F"/>
    <w:rsid w:val="007E05B2"/>
    <w:rsid w:val="00823196"/>
    <w:rsid w:val="00823FB1"/>
    <w:rsid w:val="00882CE0"/>
    <w:rsid w:val="00894B41"/>
    <w:rsid w:val="008E3728"/>
    <w:rsid w:val="008E5BD2"/>
    <w:rsid w:val="008E7175"/>
    <w:rsid w:val="008F04D9"/>
    <w:rsid w:val="00946AC4"/>
    <w:rsid w:val="009474A4"/>
    <w:rsid w:val="009B6B7A"/>
    <w:rsid w:val="009D2444"/>
    <w:rsid w:val="00A03132"/>
    <w:rsid w:val="00AA6157"/>
    <w:rsid w:val="00B1400F"/>
    <w:rsid w:val="00B47FFD"/>
    <w:rsid w:val="00BB4DA8"/>
    <w:rsid w:val="00C2560B"/>
    <w:rsid w:val="00C5584D"/>
    <w:rsid w:val="00C667D4"/>
    <w:rsid w:val="00C759F9"/>
    <w:rsid w:val="00CD30CC"/>
    <w:rsid w:val="00CF4AB3"/>
    <w:rsid w:val="00D0606E"/>
    <w:rsid w:val="00D24456"/>
    <w:rsid w:val="00D365F0"/>
    <w:rsid w:val="00D40C6A"/>
    <w:rsid w:val="00D70AB4"/>
    <w:rsid w:val="00DB65B2"/>
    <w:rsid w:val="00DC4181"/>
    <w:rsid w:val="00DC7DEE"/>
    <w:rsid w:val="00E9538E"/>
    <w:rsid w:val="00E97D0B"/>
    <w:rsid w:val="00EC58CA"/>
    <w:rsid w:val="00F36AB1"/>
    <w:rsid w:val="00F6232D"/>
    <w:rsid w:val="00F70154"/>
    <w:rsid w:val="00F71770"/>
    <w:rsid w:val="00F94C3E"/>
    <w:rsid w:val="00FD3B4A"/>
    <w:rsid w:val="00FD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456"/>
    <w:pPr>
      <w:ind w:left="720"/>
      <w:contextualSpacing/>
    </w:pPr>
  </w:style>
  <w:style w:type="paragraph" w:styleId="NoSpacing">
    <w:name w:val="No Spacing"/>
    <w:uiPriority w:val="1"/>
    <w:qFormat/>
    <w:rsid w:val="00711FC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11F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C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27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4456"/>
    <w:pPr>
      <w:ind w:left="720"/>
      <w:contextualSpacing/>
    </w:pPr>
  </w:style>
  <w:style w:type="paragraph" w:styleId="NoSpacing">
    <w:name w:val="No Spacing"/>
    <w:uiPriority w:val="1"/>
    <w:qFormat/>
    <w:rsid w:val="00711FC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11F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9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C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8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313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H/11-12/5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H/11-12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H/11-12/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bacus.bates.edu/admin/offices/dos/mlk/letter.html" TargetMode="External"/><Relationship Id="rId10" Type="http://schemas.openxmlformats.org/officeDocument/2006/relationships/hyperlink" Target="http://www.corestandards.org/ELA-Literacy/WHST/11-12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HST/11-12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Hada M Flores</dc:creator>
  <cp:lastModifiedBy>Lior Klirs</cp:lastModifiedBy>
  <cp:revision>11</cp:revision>
  <cp:lastPrinted>2013-07-02T13:43:00Z</cp:lastPrinted>
  <dcterms:created xsi:type="dcterms:W3CDTF">2013-08-06T04:12:00Z</dcterms:created>
  <dcterms:modified xsi:type="dcterms:W3CDTF">2013-08-26T14:25:00Z</dcterms:modified>
</cp:coreProperties>
</file>