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D2" w:rsidRPr="00642EC7" w:rsidRDefault="00FC4BD2" w:rsidP="00642EC7">
      <w:pPr>
        <w:spacing w:after="0"/>
        <w:jc w:val="center"/>
        <w:rPr>
          <w:b/>
          <w:sz w:val="24"/>
          <w:szCs w:val="24"/>
        </w:rPr>
      </w:pPr>
      <w:bookmarkStart w:id="0" w:name="_GoBack"/>
      <w:bookmarkEnd w:id="0"/>
      <w:r w:rsidRPr="00642EC7">
        <w:rPr>
          <w:b/>
          <w:sz w:val="24"/>
          <w:szCs w:val="24"/>
        </w:rPr>
        <w:t xml:space="preserve">Common Core </w:t>
      </w:r>
      <w:r w:rsidR="00642EC7" w:rsidRPr="00642EC7">
        <w:rPr>
          <w:b/>
          <w:sz w:val="24"/>
          <w:szCs w:val="24"/>
        </w:rPr>
        <w:t xml:space="preserve">State Standards: CTE Writing Prompt and Literacy </w:t>
      </w:r>
      <w:r w:rsidR="00EB5488">
        <w:rPr>
          <w:b/>
          <w:sz w:val="24"/>
          <w:szCs w:val="24"/>
        </w:rPr>
        <w:t>Close</w:t>
      </w:r>
      <w:r w:rsidR="00642EC7" w:rsidRPr="00642EC7">
        <w:rPr>
          <w:b/>
          <w:sz w:val="24"/>
          <w:szCs w:val="24"/>
        </w:rPr>
        <w:t xml:space="preserve"> Reading Task</w:t>
      </w:r>
    </w:p>
    <w:p w:rsidR="00FC4BD2" w:rsidRPr="00642EC7" w:rsidRDefault="00C268D9" w:rsidP="00642EC7">
      <w:pPr>
        <w:spacing w:after="0"/>
        <w:jc w:val="center"/>
        <w:rPr>
          <w:b/>
          <w:sz w:val="24"/>
          <w:szCs w:val="24"/>
          <w:u w:val="single"/>
        </w:rPr>
      </w:pPr>
      <w:r>
        <w:rPr>
          <w:b/>
          <w:sz w:val="24"/>
          <w:szCs w:val="24"/>
          <w:u w:val="single"/>
        </w:rPr>
        <w:t xml:space="preserve">“The Farm Bill” – </w:t>
      </w:r>
      <w:r w:rsidRPr="00C268D9">
        <w:rPr>
          <w:b/>
          <w:sz w:val="24"/>
          <w:szCs w:val="24"/>
          <w:u w:val="single"/>
        </w:rPr>
        <w:t>Understanding</w:t>
      </w:r>
      <w:r>
        <w:rPr>
          <w:b/>
          <w:sz w:val="24"/>
          <w:szCs w:val="24"/>
          <w:u w:val="single"/>
        </w:rPr>
        <w:t xml:space="preserve"> </w:t>
      </w:r>
      <w:r w:rsidRPr="00C268D9">
        <w:rPr>
          <w:b/>
          <w:sz w:val="24"/>
          <w:szCs w:val="24"/>
          <w:u w:val="single"/>
        </w:rPr>
        <w:t>Agriculture Subsidies</w:t>
      </w:r>
      <w:r w:rsidR="00FC4BD2" w:rsidRPr="00642EC7">
        <w:rPr>
          <w:b/>
          <w:sz w:val="24"/>
          <w:szCs w:val="24"/>
          <w:u w:val="single"/>
        </w:rPr>
        <w:t xml:space="preserve"> </w:t>
      </w:r>
    </w:p>
    <w:p w:rsidR="00642EC7" w:rsidRDefault="00642EC7" w:rsidP="00642EC7">
      <w:pPr>
        <w:spacing w:after="0" w:line="240" w:lineRule="auto"/>
        <w:rPr>
          <w:b/>
          <w:sz w:val="24"/>
          <w:szCs w:val="24"/>
        </w:rPr>
      </w:pPr>
    </w:p>
    <w:tbl>
      <w:tblPr>
        <w:tblStyle w:val="TableGrid"/>
        <w:tblW w:w="0" w:type="auto"/>
        <w:tblInd w:w="108" w:type="dxa"/>
        <w:tblLook w:val="04A0" w:firstRow="1" w:lastRow="0" w:firstColumn="1" w:lastColumn="0" w:noHBand="0" w:noVBand="1"/>
      </w:tblPr>
      <w:tblGrid>
        <w:gridCol w:w="6198"/>
        <w:gridCol w:w="6870"/>
      </w:tblGrid>
      <w:tr w:rsidR="00642EC7" w:rsidRPr="005642AC" w:rsidTr="00251349">
        <w:tc>
          <w:tcPr>
            <w:tcW w:w="6198" w:type="dxa"/>
            <w:shd w:val="clear" w:color="auto" w:fill="D9D9D9" w:themeFill="background1" w:themeFillShade="D9"/>
          </w:tcPr>
          <w:p w:rsidR="00642EC7" w:rsidRPr="005642AC" w:rsidRDefault="00642EC7" w:rsidP="00642EC7">
            <w:pPr>
              <w:rPr>
                <w:b/>
              </w:rPr>
            </w:pPr>
            <w:r w:rsidRPr="005642AC">
              <w:rPr>
                <w:b/>
              </w:rPr>
              <w:t>Career Cluster</w:t>
            </w:r>
          </w:p>
        </w:tc>
        <w:tc>
          <w:tcPr>
            <w:tcW w:w="6870" w:type="dxa"/>
          </w:tcPr>
          <w:p w:rsidR="00642EC7" w:rsidRPr="005642AC" w:rsidRDefault="00642EC7" w:rsidP="00642EC7">
            <w:r w:rsidRPr="005642AC">
              <w:t>Agriculture, Food, &amp; Natural Resources</w:t>
            </w:r>
          </w:p>
        </w:tc>
      </w:tr>
      <w:tr w:rsidR="00642EC7" w:rsidRPr="005642AC" w:rsidTr="00251349">
        <w:tc>
          <w:tcPr>
            <w:tcW w:w="6198" w:type="dxa"/>
            <w:shd w:val="clear" w:color="auto" w:fill="D9D9D9" w:themeFill="background1" w:themeFillShade="D9"/>
          </w:tcPr>
          <w:p w:rsidR="00642EC7" w:rsidRPr="005642AC" w:rsidRDefault="00642EC7" w:rsidP="00642EC7">
            <w:pPr>
              <w:rPr>
                <w:b/>
              </w:rPr>
            </w:pPr>
            <w:r w:rsidRPr="005642AC">
              <w:rPr>
                <w:b/>
              </w:rPr>
              <w:t>Grade-Band</w:t>
            </w:r>
          </w:p>
        </w:tc>
        <w:tc>
          <w:tcPr>
            <w:tcW w:w="6870" w:type="dxa"/>
            <w:tcBorders>
              <w:bottom w:val="single" w:sz="4" w:space="0" w:color="auto"/>
            </w:tcBorders>
          </w:tcPr>
          <w:p w:rsidR="00642EC7" w:rsidRPr="005642AC" w:rsidRDefault="00C268D9" w:rsidP="00642EC7">
            <w:r w:rsidRPr="005642AC">
              <w:t>11-12</w:t>
            </w:r>
          </w:p>
        </w:tc>
      </w:tr>
      <w:tr w:rsidR="00642EC7" w:rsidRPr="005642AC" w:rsidTr="00251349">
        <w:tc>
          <w:tcPr>
            <w:tcW w:w="6198" w:type="dxa"/>
            <w:tcBorders>
              <w:bottom w:val="single" w:sz="4" w:space="0" w:color="auto"/>
            </w:tcBorders>
            <w:shd w:val="clear" w:color="auto" w:fill="D9D9D9" w:themeFill="background1" w:themeFillShade="D9"/>
          </w:tcPr>
          <w:p w:rsidR="00642EC7" w:rsidRPr="005642AC" w:rsidRDefault="00642EC7" w:rsidP="00642EC7">
            <w:pPr>
              <w:rPr>
                <w:b/>
              </w:rPr>
            </w:pPr>
            <w:r w:rsidRPr="005642AC">
              <w:rPr>
                <w:b/>
              </w:rPr>
              <w:t>Texts</w:t>
            </w:r>
          </w:p>
        </w:tc>
        <w:tc>
          <w:tcPr>
            <w:tcW w:w="6870" w:type="dxa"/>
            <w:tcBorders>
              <w:bottom w:val="single" w:sz="4" w:space="0" w:color="auto"/>
            </w:tcBorders>
            <w:shd w:val="clear" w:color="auto" w:fill="D9D9D9" w:themeFill="background1" w:themeFillShade="D9"/>
          </w:tcPr>
          <w:p w:rsidR="00642EC7" w:rsidRPr="005642AC" w:rsidRDefault="00642EC7" w:rsidP="00642EC7">
            <w:pPr>
              <w:rPr>
                <w:b/>
              </w:rPr>
            </w:pPr>
            <w:r w:rsidRPr="005642AC">
              <w:rPr>
                <w:b/>
              </w:rPr>
              <w:t>Text Complexity Analysis</w:t>
            </w:r>
          </w:p>
        </w:tc>
      </w:tr>
      <w:tr w:rsidR="00642EC7" w:rsidRPr="005642AC" w:rsidTr="00251349">
        <w:trPr>
          <w:trHeight w:val="530"/>
        </w:trPr>
        <w:tc>
          <w:tcPr>
            <w:tcW w:w="6198" w:type="dxa"/>
            <w:vMerge w:val="restart"/>
            <w:shd w:val="clear" w:color="auto" w:fill="auto"/>
          </w:tcPr>
          <w:p w:rsidR="00642EC7" w:rsidRPr="005642AC" w:rsidRDefault="00642EC7" w:rsidP="00642EC7">
            <w:r w:rsidRPr="005642AC">
              <w:rPr>
                <w:b/>
              </w:rPr>
              <w:t xml:space="preserve">Title: </w:t>
            </w:r>
            <w:r w:rsidR="00C268D9" w:rsidRPr="005642AC">
              <w:t xml:space="preserve">Excerpt: </w:t>
            </w:r>
            <w:r w:rsidRPr="005642AC">
              <w:t>“</w:t>
            </w:r>
            <w:r w:rsidR="00C268D9" w:rsidRPr="005642AC">
              <w:t>Overhauling the Farm Bill: The Real Beneficiaries of Subsidies</w:t>
            </w:r>
            <w:r w:rsidRPr="005642AC">
              <w:t>”</w:t>
            </w:r>
          </w:p>
          <w:p w:rsidR="00642EC7" w:rsidRPr="005642AC" w:rsidRDefault="00642EC7" w:rsidP="00642EC7"/>
          <w:p w:rsidR="00642EC7" w:rsidRPr="005642AC" w:rsidRDefault="00642EC7" w:rsidP="00642EC7">
            <w:r w:rsidRPr="005642AC">
              <w:rPr>
                <w:b/>
              </w:rPr>
              <w:t xml:space="preserve">Author: </w:t>
            </w:r>
            <w:r w:rsidR="00C268D9" w:rsidRPr="005642AC">
              <w:t>Daniel Imhoff</w:t>
            </w:r>
          </w:p>
          <w:p w:rsidR="00642EC7" w:rsidRPr="005642AC" w:rsidRDefault="00642EC7" w:rsidP="00642EC7"/>
          <w:p w:rsidR="00642EC7" w:rsidRPr="005642AC" w:rsidRDefault="00642EC7" w:rsidP="00642EC7">
            <w:r w:rsidRPr="005642AC">
              <w:rPr>
                <w:b/>
              </w:rPr>
              <w:t xml:space="preserve">Citation/Publication Information: </w:t>
            </w:r>
            <w:r w:rsidR="00C268D9" w:rsidRPr="005642AC">
              <w:rPr>
                <w:shd w:val="clear" w:color="auto" w:fill="FFFFFF"/>
              </w:rPr>
              <w:t>Imhoff, D</w:t>
            </w:r>
            <w:r w:rsidR="00E319AA" w:rsidRPr="005642AC">
              <w:rPr>
                <w:shd w:val="clear" w:color="auto" w:fill="FFFFFF"/>
              </w:rPr>
              <w:t xml:space="preserve">. </w:t>
            </w:r>
            <w:r w:rsidR="00C268D9" w:rsidRPr="005642AC">
              <w:rPr>
                <w:shd w:val="clear" w:color="auto" w:fill="FFFFFF"/>
              </w:rPr>
              <w:t xml:space="preserve">(2012, March 21). </w:t>
            </w:r>
            <w:r w:rsidR="00E319AA" w:rsidRPr="005642AC">
              <w:rPr>
                <w:shd w:val="clear" w:color="auto" w:fill="FFFFFF"/>
              </w:rPr>
              <w:t>“</w:t>
            </w:r>
            <w:r w:rsidR="00C268D9" w:rsidRPr="005642AC">
              <w:t>Food Fight: The Citizen's Guide to the Next Food and Farm Bill</w:t>
            </w:r>
            <w:r w:rsidR="00E319AA" w:rsidRPr="005642AC">
              <w:rPr>
                <w:shd w:val="clear" w:color="auto" w:fill="FFFFFF"/>
              </w:rPr>
              <w:t xml:space="preserve">.” </w:t>
            </w:r>
            <w:r w:rsidR="00C268D9" w:rsidRPr="005642AC">
              <w:rPr>
                <w:i/>
              </w:rPr>
              <w:t>The Atlantic</w:t>
            </w:r>
            <w:r w:rsidR="00E319AA" w:rsidRPr="005642AC">
              <w:rPr>
                <w:shd w:val="clear" w:color="auto" w:fill="FFFFFF"/>
              </w:rPr>
              <w:t>. Retrieved July 15, 2013.</w:t>
            </w:r>
          </w:p>
          <w:p w:rsidR="00642EC7" w:rsidRPr="005642AC" w:rsidRDefault="00642EC7" w:rsidP="00642EC7"/>
          <w:p w:rsidR="00642EC7" w:rsidRPr="005642AC" w:rsidRDefault="00642EC7" w:rsidP="00642EC7">
            <w:r w:rsidRPr="005642AC">
              <w:rPr>
                <w:b/>
              </w:rPr>
              <w:t xml:space="preserve">Link: </w:t>
            </w:r>
          </w:p>
          <w:p w:rsidR="00642EC7" w:rsidRPr="005642AC" w:rsidRDefault="00FC5589" w:rsidP="00D7466C">
            <w:hyperlink r:id="rId8" w:history="1">
              <w:r w:rsidR="00C268D9" w:rsidRPr="005642AC">
                <w:rPr>
                  <w:rStyle w:val="Hyperlink"/>
                </w:rPr>
                <w:t>http://www.theatlantic.com/health/archive/2012/03/overhauling-the-farm-bill-the-real-beneficiaries-of-subsidies/254422/</w:t>
              </w:r>
            </w:hyperlink>
          </w:p>
        </w:tc>
        <w:tc>
          <w:tcPr>
            <w:tcW w:w="6870" w:type="dxa"/>
            <w:shd w:val="clear" w:color="auto" w:fill="auto"/>
          </w:tcPr>
          <w:p w:rsidR="00E319AA" w:rsidRPr="005642AC" w:rsidRDefault="00E319AA" w:rsidP="00E319AA">
            <w:r w:rsidRPr="005642AC">
              <w:rPr>
                <w:rFonts w:eastAsia="Arial" w:cs="Arial"/>
                <w:b/>
              </w:rPr>
              <w:t xml:space="preserve">Quantitative: </w:t>
            </w:r>
          </w:p>
          <w:p w:rsidR="00642EC7" w:rsidRPr="005642AC" w:rsidRDefault="00E319AA" w:rsidP="00E319AA">
            <w:pPr>
              <w:rPr>
                <w:b/>
              </w:rPr>
            </w:pPr>
            <w:r w:rsidRPr="005642AC">
              <w:rPr>
                <w:rFonts w:eastAsia="Arial" w:cs="Arial"/>
              </w:rPr>
              <w:t>Lexile: 1</w:t>
            </w:r>
            <w:r w:rsidR="00C268D9" w:rsidRPr="005642AC">
              <w:rPr>
                <w:rFonts w:eastAsia="Arial" w:cs="Arial"/>
              </w:rPr>
              <w:t>330</w:t>
            </w:r>
          </w:p>
        </w:tc>
      </w:tr>
      <w:tr w:rsidR="00642EC7" w:rsidRPr="005642AC" w:rsidTr="00251349">
        <w:trPr>
          <w:trHeight w:val="1322"/>
        </w:trPr>
        <w:tc>
          <w:tcPr>
            <w:tcW w:w="6198" w:type="dxa"/>
            <w:vMerge/>
            <w:shd w:val="clear" w:color="auto" w:fill="auto"/>
          </w:tcPr>
          <w:p w:rsidR="00642EC7" w:rsidRPr="005642AC" w:rsidRDefault="00642EC7" w:rsidP="00642EC7">
            <w:pPr>
              <w:rPr>
                <w:b/>
              </w:rPr>
            </w:pPr>
          </w:p>
        </w:tc>
        <w:tc>
          <w:tcPr>
            <w:tcW w:w="6870" w:type="dxa"/>
            <w:shd w:val="clear" w:color="auto" w:fill="auto"/>
          </w:tcPr>
          <w:p w:rsidR="00E319AA" w:rsidRPr="005642AC" w:rsidRDefault="00E319AA" w:rsidP="00E319AA">
            <w:r w:rsidRPr="005642AC">
              <w:rPr>
                <w:rFonts w:eastAsia="Arial" w:cs="Arial"/>
                <w:b/>
              </w:rPr>
              <w:t>Qualitative:</w:t>
            </w:r>
          </w:p>
          <w:p w:rsidR="00642EC7" w:rsidRPr="005642AC" w:rsidRDefault="00E319AA" w:rsidP="00C268D9">
            <w:pPr>
              <w:rPr>
                <w:b/>
              </w:rPr>
            </w:pPr>
            <w:r w:rsidRPr="005642AC">
              <w:rPr>
                <w:rFonts w:eastAsia="Arial" w:cs="Arial"/>
              </w:rPr>
              <w:t xml:space="preserve">This </w:t>
            </w:r>
            <w:r w:rsidR="008B28C7" w:rsidRPr="005642AC">
              <w:rPr>
                <w:rFonts w:eastAsia="Arial" w:cs="Arial"/>
              </w:rPr>
              <w:t xml:space="preserve">article provides students </w:t>
            </w:r>
            <w:r w:rsidR="00C268D9" w:rsidRPr="005642AC">
              <w:rPr>
                <w:rFonts w:eastAsia="Arial" w:cs="Arial"/>
              </w:rPr>
              <w:t>background information and statistics about America’s farmers.</w:t>
            </w:r>
            <w:r w:rsidR="005642AC" w:rsidRPr="005642AC">
              <w:rPr>
                <w:rFonts w:eastAsia="Arial" w:cs="Arial"/>
              </w:rPr>
              <w:t xml:space="preserve"> </w:t>
            </w:r>
            <w:r w:rsidR="00C268D9" w:rsidRPr="005642AC">
              <w:rPr>
                <w:rFonts w:eastAsia="Arial" w:cs="Arial"/>
              </w:rPr>
              <w:t xml:space="preserve">Students should find the text less complex because of their understanding of the </w:t>
            </w:r>
            <w:r w:rsidR="005642AC" w:rsidRPr="005642AC">
              <w:rPr>
                <w:rFonts w:eastAsia="Arial" w:cs="Arial"/>
              </w:rPr>
              <w:t xml:space="preserve">subject matter and vocabulary. </w:t>
            </w:r>
            <w:r w:rsidR="00C268D9" w:rsidRPr="005642AC">
              <w:rPr>
                <w:rFonts w:eastAsia="Arial" w:cs="Arial"/>
              </w:rPr>
              <w:t xml:space="preserve">However, relationships drawn between concepts (such as income, subsidies, commodity prices, and lobbying) may require scaffolding.  </w:t>
            </w:r>
          </w:p>
        </w:tc>
      </w:tr>
      <w:tr w:rsidR="00642EC7" w:rsidRPr="005642AC" w:rsidTr="002B425E">
        <w:trPr>
          <w:trHeight w:val="1232"/>
        </w:trPr>
        <w:tc>
          <w:tcPr>
            <w:tcW w:w="6198" w:type="dxa"/>
            <w:vMerge/>
            <w:shd w:val="clear" w:color="auto" w:fill="auto"/>
          </w:tcPr>
          <w:p w:rsidR="00642EC7" w:rsidRPr="005642AC" w:rsidRDefault="00642EC7" w:rsidP="00642EC7">
            <w:pPr>
              <w:rPr>
                <w:b/>
              </w:rPr>
            </w:pPr>
          </w:p>
        </w:tc>
        <w:tc>
          <w:tcPr>
            <w:tcW w:w="6870" w:type="dxa"/>
            <w:shd w:val="clear" w:color="auto" w:fill="auto"/>
          </w:tcPr>
          <w:p w:rsidR="00E319AA" w:rsidRPr="005642AC" w:rsidRDefault="00E319AA" w:rsidP="00E319AA">
            <w:r w:rsidRPr="005642AC">
              <w:rPr>
                <w:rFonts w:eastAsia="Arial" w:cs="Arial"/>
                <w:b/>
              </w:rPr>
              <w:t>Reader and Task:</w:t>
            </w:r>
            <w:r w:rsidRPr="005642AC">
              <w:rPr>
                <w:rFonts w:eastAsia="Arial" w:cs="Arial"/>
                <w:b/>
                <w:color w:val="FF0000"/>
              </w:rPr>
              <w:t xml:space="preserve"> </w:t>
            </w:r>
          </w:p>
          <w:p w:rsidR="00642EC7" w:rsidRPr="005642AC" w:rsidRDefault="00E319AA" w:rsidP="00C268D9">
            <w:pPr>
              <w:rPr>
                <w:b/>
              </w:rPr>
            </w:pPr>
            <w:r w:rsidRPr="005642AC">
              <w:rPr>
                <w:rFonts w:eastAsia="Arial" w:cs="Arial"/>
              </w:rPr>
              <w:t xml:space="preserve">Students need to have a </w:t>
            </w:r>
            <w:r w:rsidR="00C268D9" w:rsidRPr="005642AC">
              <w:rPr>
                <w:rFonts w:eastAsia="Arial" w:cs="Arial"/>
              </w:rPr>
              <w:t>strong knowledge of agriculture vocabulary and a basic understanding of economics to be able to build knowledge about the government’s role in agriculture prices and profits.</w:t>
            </w:r>
          </w:p>
        </w:tc>
      </w:tr>
      <w:tr w:rsidR="00642EC7" w:rsidRPr="005642AC" w:rsidTr="00251349">
        <w:tc>
          <w:tcPr>
            <w:tcW w:w="6198" w:type="dxa"/>
            <w:vMerge w:val="restart"/>
            <w:shd w:val="clear" w:color="auto" w:fill="auto"/>
          </w:tcPr>
          <w:p w:rsidR="00497E90" w:rsidRPr="005642AC" w:rsidRDefault="00497E90" w:rsidP="00497E90">
            <w:r w:rsidRPr="005642AC">
              <w:rPr>
                <w:b/>
              </w:rPr>
              <w:t xml:space="preserve">Title: </w:t>
            </w:r>
            <w:r w:rsidRPr="005642AC">
              <w:t>“</w:t>
            </w:r>
            <w:r w:rsidR="00C268D9" w:rsidRPr="005642AC">
              <w:t>How Farm Subsidies Harm Taxpayers, Consumers, and Farmers, Too</w:t>
            </w:r>
            <w:r w:rsidRPr="005642AC">
              <w:t>”</w:t>
            </w:r>
          </w:p>
          <w:p w:rsidR="00497E90" w:rsidRPr="005642AC" w:rsidRDefault="00497E90" w:rsidP="00497E90"/>
          <w:p w:rsidR="00497E90" w:rsidRPr="005642AC" w:rsidRDefault="00497E90" w:rsidP="00497E90">
            <w:r w:rsidRPr="005642AC">
              <w:rPr>
                <w:b/>
              </w:rPr>
              <w:t xml:space="preserve">Author: </w:t>
            </w:r>
            <w:r w:rsidR="00C268D9" w:rsidRPr="005642AC">
              <w:t xml:space="preserve">Brian M. Riedl </w:t>
            </w:r>
          </w:p>
          <w:p w:rsidR="00C268D9" w:rsidRPr="005642AC" w:rsidRDefault="00C268D9" w:rsidP="00497E90"/>
          <w:p w:rsidR="00497E90" w:rsidRPr="005642AC" w:rsidRDefault="00497E90" w:rsidP="00497E90">
            <w:r w:rsidRPr="005642AC">
              <w:rPr>
                <w:b/>
              </w:rPr>
              <w:t xml:space="preserve">Citation/Publication Information: </w:t>
            </w:r>
            <w:r w:rsidR="00C268D9" w:rsidRPr="005642AC">
              <w:rPr>
                <w:shd w:val="clear" w:color="auto" w:fill="FFFFFF"/>
              </w:rPr>
              <w:t>Riedl, B. (2007</w:t>
            </w:r>
            <w:r w:rsidRPr="005642AC">
              <w:rPr>
                <w:shd w:val="clear" w:color="auto" w:fill="FFFFFF"/>
              </w:rPr>
              <w:t xml:space="preserve">, </w:t>
            </w:r>
            <w:r w:rsidR="00C268D9" w:rsidRPr="005642AC">
              <w:rPr>
                <w:shd w:val="clear" w:color="auto" w:fill="FFFFFF"/>
              </w:rPr>
              <w:t>June 20</w:t>
            </w:r>
            <w:r w:rsidRPr="005642AC">
              <w:rPr>
                <w:shd w:val="clear" w:color="auto" w:fill="FFFFFF"/>
              </w:rPr>
              <w:t>). “</w:t>
            </w:r>
            <w:r w:rsidR="00C268D9" w:rsidRPr="005642AC">
              <w:t>How Farm Subsidies Harm Taxpayers, Consumers, and Farmers, Too</w:t>
            </w:r>
            <w:r w:rsidRPr="005642AC">
              <w:rPr>
                <w:shd w:val="clear" w:color="auto" w:fill="FFFFFF"/>
              </w:rPr>
              <w:t xml:space="preserve">” </w:t>
            </w:r>
            <w:r w:rsidR="00C268D9" w:rsidRPr="005642AC">
              <w:rPr>
                <w:i/>
                <w:iCs/>
                <w:shd w:val="clear" w:color="auto" w:fill="FFFFFF"/>
              </w:rPr>
              <w:t>The Heritage Foundation</w:t>
            </w:r>
            <w:r w:rsidRPr="005642AC">
              <w:rPr>
                <w:shd w:val="clear" w:color="auto" w:fill="FFFFFF"/>
              </w:rPr>
              <w:t>. Retrieved July 15, 2013.</w:t>
            </w:r>
          </w:p>
          <w:p w:rsidR="00497E90" w:rsidRPr="005642AC" w:rsidRDefault="00497E90" w:rsidP="00497E90"/>
          <w:p w:rsidR="00497E90" w:rsidRPr="005642AC" w:rsidRDefault="00497E90" w:rsidP="00497E90">
            <w:r w:rsidRPr="005642AC">
              <w:rPr>
                <w:b/>
              </w:rPr>
              <w:t xml:space="preserve">Link: </w:t>
            </w:r>
          </w:p>
          <w:p w:rsidR="00642EC7" w:rsidRPr="005642AC" w:rsidRDefault="00FC5589" w:rsidP="00497E90">
            <w:hyperlink r:id="rId9" w:history="1">
              <w:r w:rsidR="00C268D9" w:rsidRPr="005642AC">
                <w:rPr>
                  <w:color w:val="0000FF"/>
                  <w:u w:val="single"/>
                </w:rPr>
                <w:t>http://www.heritage.org/research/reports/2007/06/how-farm-subsidies-harm-taxpayers-consumers-and-farmers-too</w:t>
              </w:r>
            </w:hyperlink>
          </w:p>
          <w:p w:rsidR="00251349" w:rsidRPr="005642AC" w:rsidRDefault="00251349" w:rsidP="00497E90"/>
          <w:p w:rsidR="002B425E" w:rsidRPr="005642AC" w:rsidRDefault="002B425E" w:rsidP="00497E90"/>
          <w:p w:rsidR="00251349" w:rsidRPr="005642AC" w:rsidRDefault="00251349" w:rsidP="00497E90">
            <w:pPr>
              <w:rPr>
                <w:b/>
              </w:rPr>
            </w:pPr>
          </w:p>
        </w:tc>
        <w:tc>
          <w:tcPr>
            <w:tcW w:w="6870" w:type="dxa"/>
            <w:shd w:val="clear" w:color="auto" w:fill="auto"/>
          </w:tcPr>
          <w:p w:rsidR="00497E90" w:rsidRPr="005642AC" w:rsidRDefault="00497E90" w:rsidP="00497E90">
            <w:r w:rsidRPr="005642AC">
              <w:rPr>
                <w:rFonts w:eastAsia="Arial" w:cs="Arial"/>
                <w:b/>
              </w:rPr>
              <w:t xml:space="preserve">Quantitative: </w:t>
            </w:r>
          </w:p>
          <w:p w:rsidR="00642EC7" w:rsidRPr="005642AC" w:rsidRDefault="00497E90" w:rsidP="00497E90">
            <w:pPr>
              <w:rPr>
                <w:b/>
              </w:rPr>
            </w:pPr>
            <w:r w:rsidRPr="005642AC">
              <w:rPr>
                <w:rFonts w:eastAsia="Arial" w:cs="Arial"/>
              </w:rPr>
              <w:t>Lexile: 1</w:t>
            </w:r>
            <w:r w:rsidR="00C268D9" w:rsidRPr="005642AC">
              <w:rPr>
                <w:rFonts w:eastAsia="Arial" w:cs="Arial"/>
              </w:rPr>
              <w:t>120</w:t>
            </w:r>
          </w:p>
        </w:tc>
      </w:tr>
      <w:tr w:rsidR="00642EC7" w:rsidRPr="005642AC" w:rsidTr="002B425E">
        <w:trPr>
          <w:trHeight w:val="1520"/>
        </w:trPr>
        <w:tc>
          <w:tcPr>
            <w:tcW w:w="6198" w:type="dxa"/>
            <w:vMerge/>
            <w:shd w:val="clear" w:color="auto" w:fill="auto"/>
          </w:tcPr>
          <w:p w:rsidR="00642EC7" w:rsidRPr="005642AC" w:rsidRDefault="00642EC7" w:rsidP="00642EC7">
            <w:pPr>
              <w:rPr>
                <w:b/>
              </w:rPr>
            </w:pPr>
          </w:p>
        </w:tc>
        <w:tc>
          <w:tcPr>
            <w:tcW w:w="6870" w:type="dxa"/>
            <w:shd w:val="clear" w:color="auto" w:fill="auto"/>
          </w:tcPr>
          <w:p w:rsidR="00497E90" w:rsidRPr="005642AC" w:rsidRDefault="00497E90" w:rsidP="00497E90">
            <w:r w:rsidRPr="005642AC">
              <w:rPr>
                <w:rFonts w:eastAsia="Arial" w:cs="Arial"/>
                <w:b/>
              </w:rPr>
              <w:t>Qualitative:</w:t>
            </w:r>
          </w:p>
          <w:p w:rsidR="00642EC7" w:rsidRPr="005642AC" w:rsidRDefault="00497E90" w:rsidP="00251349">
            <w:pPr>
              <w:rPr>
                <w:b/>
              </w:rPr>
            </w:pPr>
            <w:r w:rsidRPr="005642AC">
              <w:rPr>
                <w:rFonts w:eastAsia="Arial" w:cs="Arial"/>
              </w:rPr>
              <w:t xml:space="preserve">This article provides students with </w:t>
            </w:r>
            <w:r w:rsidR="00166112" w:rsidRPr="005642AC">
              <w:rPr>
                <w:rFonts w:eastAsia="Arial" w:cs="Arial"/>
              </w:rPr>
              <w:t xml:space="preserve">a </w:t>
            </w:r>
            <w:r w:rsidR="00251349" w:rsidRPr="005642AC">
              <w:rPr>
                <w:rFonts w:eastAsia="Arial" w:cs="Arial"/>
              </w:rPr>
              <w:t>lot of graphs, data, and information addressing specific challenges to farm subsidies</w:t>
            </w:r>
            <w:r w:rsidR="00166112" w:rsidRPr="005642AC">
              <w:rPr>
                <w:rFonts w:eastAsia="Arial" w:cs="Arial"/>
              </w:rPr>
              <w:t>.</w:t>
            </w:r>
            <w:r w:rsidR="005642AC" w:rsidRPr="005642AC">
              <w:rPr>
                <w:rFonts w:eastAsia="Arial" w:cs="Arial"/>
              </w:rPr>
              <w:t xml:space="preserve"> </w:t>
            </w:r>
            <w:r w:rsidR="00251349" w:rsidRPr="005642AC">
              <w:rPr>
                <w:rFonts w:eastAsia="Arial" w:cs="Arial"/>
              </w:rPr>
              <w:t>Longer sentences, graphs and charts, and challenging vocabulary make this more complex to read as a whole, despite lower quantitative score.</w:t>
            </w:r>
          </w:p>
        </w:tc>
      </w:tr>
      <w:tr w:rsidR="00642EC7" w:rsidRPr="005642AC" w:rsidTr="00251349">
        <w:tc>
          <w:tcPr>
            <w:tcW w:w="6198" w:type="dxa"/>
            <w:vMerge/>
            <w:shd w:val="clear" w:color="auto" w:fill="auto"/>
          </w:tcPr>
          <w:p w:rsidR="00642EC7" w:rsidRPr="005642AC" w:rsidRDefault="00642EC7" w:rsidP="00642EC7">
            <w:pPr>
              <w:rPr>
                <w:b/>
              </w:rPr>
            </w:pPr>
          </w:p>
        </w:tc>
        <w:tc>
          <w:tcPr>
            <w:tcW w:w="6870" w:type="dxa"/>
            <w:shd w:val="clear" w:color="auto" w:fill="auto"/>
          </w:tcPr>
          <w:p w:rsidR="00497E90" w:rsidRPr="005642AC" w:rsidRDefault="00497E90" w:rsidP="00497E90">
            <w:r w:rsidRPr="005642AC">
              <w:rPr>
                <w:rFonts w:eastAsia="Arial" w:cs="Arial"/>
                <w:b/>
              </w:rPr>
              <w:t>Reader and Task:</w:t>
            </w:r>
            <w:r w:rsidRPr="005642AC">
              <w:rPr>
                <w:rFonts w:eastAsia="Arial" w:cs="Arial"/>
                <w:b/>
                <w:color w:val="FF0000"/>
              </w:rPr>
              <w:t xml:space="preserve"> </w:t>
            </w:r>
          </w:p>
          <w:p w:rsidR="00642EC7" w:rsidRPr="005642AC" w:rsidRDefault="00251349" w:rsidP="00166112">
            <w:pPr>
              <w:rPr>
                <w:b/>
              </w:rPr>
            </w:pPr>
            <w:r w:rsidRPr="005642AC">
              <w:rPr>
                <w:rFonts w:eastAsia="Arial" w:cs="Arial"/>
              </w:rPr>
              <w:t>In addition to foundational knowledge of agriculture vocabulary, economic policy knowledge will ass</w:t>
            </w:r>
            <w:r w:rsidR="005642AC" w:rsidRPr="005642AC">
              <w:rPr>
                <w:rFonts w:eastAsia="Arial" w:cs="Arial"/>
              </w:rPr>
              <w:t xml:space="preserve">ist students in understanding. </w:t>
            </w:r>
            <w:r w:rsidRPr="005642AC">
              <w:rPr>
                <w:rFonts w:eastAsia="Arial" w:cs="Arial"/>
              </w:rPr>
              <w:t>Text com</w:t>
            </w:r>
            <w:r w:rsidR="00E129FD" w:rsidRPr="005642AC">
              <w:rPr>
                <w:rFonts w:eastAsia="Arial" w:cs="Arial"/>
              </w:rPr>
              <w:t>plexity could be overcome by brea</w:t>
            </w:r>
            <w:r w:rsidRPr="005642AC">
              <w:rPr>
                <w:rFonts w:eastAsia="Arial" w:cs="Arial"/>
              </w:rPr>
              <w:t>king text into smaller excerpts for close reading.</w:t>
            </w:r>
          </w:p>
        </w:tc>
      </w:tr>
      <w:tr w:rsidR="00251349" w:rsidRPr="005642AC" w:rsidTr="00251349">
        <w:tc>
          <w:tcPr>
            <w:tcW w:w="6198" w:type="dxa"/>
            <w:vMerge w:val="restart"/>
            <w:shd w:val="clear" w:color="auto" w:fill="auto"/>
          </w:tcPr>
          <w:p w:rsidR="00251349" w:rsidRPr="005642AC" w:rsidRDefault="00251349" w:rsidP="00166112">
            <w:r w:rsidRPr="005642AC">
              <w:rPr>
                <w:b/>
              </w:rPr>
              <w:lastRenderedPageBreak/>
              <w:t xml:space="preserve">Title: </w:t>
            </w:r>
            <w:r w:rsidRPr="005642AC">
              <w:t>“The 2013 Farm Bill: Limiting waste by Limiting Farm-Subsidy Budgets”</w:t>
            </w:r>
          </w:p>
          <w:p w:rsidR="00251349" w:rsidRPr="005642AC" w:rsidRDefault="00251349" w:rsidP="00166112"/>
          <w:p w:rsidR="00251349" w:rsidRPr="005642AC" w:rsidRDefault="00251349" w:rsidP="00166112">
            <w:r w:rsidRPr="005642AC">
              <w:rPr>
                <w:b/>
              </w:rPr>
              <w:t xml:space="preserve">Author: </w:t>
            </w:r>
            <w:r w:rsidRPr="005642AC">
              <w:t xml:space="preserve">Vincent H. Smith </w:t>
            </w:r>
          </w:p>
          <w:p w:rsidR="00251349" w:rsidRPr="005642AC" w:rsidRDefault="00251349" w:rsidP="00166112"/>
          <w:p w:rsidR="00251349" w:rsidRPr="005642AC" w:rsidRDefault="00251349" w:rsidP="00166112">
            <w:r w:rsidRPr="005642AC">
              <w:rPr>
                <w:b/>
              </w:rPr>
              <w:t xml:space="preserve">Citation/Publication Information: </w:t>
            </w:r>
            <w:r w:rsidRPr="005642AC">
              <w:t>Smith, V</w:t>
            </w:r>
            <w:r w:rsidRPr="005642AC">
              <w:rPr>
                <w:shd w:val="clear" w:color="auto" w:fill="FFFFFF"/>
              </w:rPr>
              <w:t>. (2013, June 17). “</w:t>
            </w:r>
            <w:r w:rsidRPr="005642AC">
              <w:t>The 2013 Farm Bill: Limiting waste by Limiting Farm-Subsidy Budgets</w:t>
            </w:r>
            <w:r w:rsidRPr="005642AC">
              <w:rPr>
                <w:shd w:val="clear" w:color="auto" w:fill="FFFFFF"/>
              </w:rPr>
              <w:t xml:space="preserve">.” </w:t>
            </w:r>
            <w:r w:rsidRPr="005642AC">
              <w:rPr>
                <w:i/>
                <w:iCs/>
                <w:shd w:val="clear" w:color="auto" w:fill="FFFFFF"/>
              </w:rPr>
              <w:t>Meracatus Center at George Mason University</w:t>
            </w:r>
            <w:r w:rsidRPr="005642AC">
              <w:rPr>
                <w:shd w:val="clear" w:color="auto" w:fill="FFFFFF"/>
              </w:rPr>
              <w:t>. Retrieved July 15, 2013.</w:t>
            </w:r>
          </w:p>
          <w:p w:rsidR="00251349" w:rsidRPr="005642AC" w:rsidRDefault="00251349" w:rsidP="00166112"/>
          <w:p w:rsidR="00251349" w:rsidRPr="005642AC" w:rsidRDefault="00251349" w:rsidP="00166112">
            <w:r w:rsidRPr="005642AC">
              <w:rPr>
                <w:b/>
              </w:rPr>
              <w:t xml:space="preserve">Link: </w:t>
            </w:r>
          </w:p>
          <w:p w:rsidR="00251349" w:rsidRPr="005642AC" w:rsidRDefault="00FC5589" w:rsidP="00166112">
            <w:pPr>
              <w:rPr>
                <w:b/>
              </w:rPr>
            </w:pPr>
            <w:hyperlink r:id="rId10" w:history="1">
              <w:r w:rsidR="00251349" w:rsidRPr="005642AC">
                <w:rPr>
                  <w:rStyle w:val="Hyperlink"/>
                </w:rPr>
                <w:t>http://mercatus.org/publication/bloated-farm-subsidies-will-2013-farm-bill-really-cut-fat</w:t>
              </w:r>
            </w:hyperlink>
            <w:r w:rsidR="00251349" w:rsidRPr="005642AC">
              <w:t xml:space="preserve"> </w:t>
            </w:r>
          </w:p>
        </w:tc>
        <w:tc>
          <w:tcPr>
            <w:tcW w:w="6870" w:type="dxa"/>
            <w:shd w:val="clear" w:color="auto" w:fill="auto"/>
          </w:tcPr>
          <w:p w:rsidR="00251349" w:rsidRPr="005642AC" w:rsidRDefault="00251349" w:rsidP="00251349">
            <w:r w:rsidRPr="005642AC">
              <w:rPr>
                <w:rFonts w:eastAsia="Arial" w:cs="Arial"/>
                <w:b/>
              </w:rPr>
              <w:t xml:space="preserve">Quantitative: </w:t>
            </w:r>
          </w:p>
          <w:p w:rsidR="00251349" w:rsidRPr="005642AC" w:rsidRDefault="00251349" w:rsidP="00251349">
            <w:pPr>
              <w:rPr>
                <w:b/>
              </w:rPr>
            </w:pPr>
            <w:r w:rsidRPr="005642AC">
              <w:rPr>
                <w:rFonts w:eastAsia="Arial" w:cs="Arial"/>
              </w:rPr>
              <w:t>Lexile: 1420</w:t>
            </w:r>
          </w:p>
        </w:tc>
      </w:tr>
      <w:tr w:rsidR="00251349" w:rsidRPr="005642AC" w:rsidTr="006B5A38">
        <w:trPr>
          <w:trHeight w:val="1340"/>
        </w:trPr>
        <w:tc>
          <w:tcPr>
            <w:tcW w:w="6198" w:type="dxa"/>
            <w:vMerge/>
            <w:shd w:val="clear" w:color="auto" w:fill="auto"/>
          </w:tcPr>
          <w:p w:rsidR="00251349" w:rsidRPr="005642AC" w:rsidRDefault="00251349" w:rsidP="00642EC7">
            <w:pPr>
              <w:rPr>
                <w:b/>
              </w:rPr>
            </w:pPr>
          </w:p>
        </w:tc>
        <w:tc>
          <w:tcPr>
            <w:tcW w:w="6870" w:type="dxa"/>
            <w:shd w:val="clear" w:color="auto" w:fill="auto"/>
          </w:tcPr>
          <w:p w:rsidR="00251349" w:rsidRPr="005642AC" w:rsidRDefault="00251349" w:rsidP="00251349">
            <w:r w:rsidRPr="005642AC">
              <w:rPr>
                <w:rFonts w:eastAsia="Arial" w:cs="Arial"/>
                <w:b/>
              </w:rPr>
              <w:t>Qualitative:</w:t>
            </w:r>
          </w:p>
          <w:p w:rsidR="00251349" w:rsidRPr="005642AC" w:rsidRDefault="00251349" w:rsidP="00251349">
            <w:pPr>
              <w:rPr>
                <w:rFonts w:eastAsia="Arial" w:cs="Arial"/>
                <w:b/>
              </w:rPr>
            </w:pPr>
            <w:r w:rsidRPr="005642AC">
              <w:rPr>
                <w:rFonts w:eastAsia="Arial" w:cs="Arial"/>
              </w:rPr>
              <w:t>This online article introduces and summarizes a large research study.  Differences in sentence structure, organization, and charts make this text more complex</w:t>
            </w:r>
            <w:r w:rsidR="002B425E" w:rsidRPr="005642AC">
              <w:rPr>
                <w:rFonts w:eastAsia="Arial" w:cs="Arial"/>
              </w:rPr>
              <w:t>,</w:t>
            </w:r>
            <w:r w:rsidRPr="005642AC">
              <w:rPr>
                <w:rFonts w:eastAsia="Arial" w:cs="Arial"/>
              </w:rPr>
              <w:t xml:space="preserve"> but a good learning tool for students.</w:t>
            </w:r>
          </w:p>
        </w:tc>
      </w:tr>
      <w:tr w:rsidR="00251349" w:rsidRPr="005642AC" w:rsidTr="00251349">
        <w:tc>
          <w:tcPr>
            <w:tcW w:w="6198" w:type="dxa"/>
            <w:vMerge/>
            <w:shd w:val="clear" w:color="auto" w:fill="auto"/>
          </w:tcPr>
          <w:p w:rsidR="00251349" w:rsidRPr="005642AC" w:rsidRDefault="00251349" w:rsidP="00642EC7">
            <w:pPr>
              <w:rPr>
                <w:b/>
              </w:rPr>
            </w:pPr>
          </w:p>
        </w:tc>
        <w:tc>
          <w:tcPr>
            <w:tcW w:w="6870" w:type="dxa"/>
            <w:shd w:val="clear" w:color="auto" w:fill="auto"/>
          </w:tcPr>
          <w:p w:rsidR="00251349" w:rsidRPr="005642AC" w:rsidRDefault="00251349" w:rsidP="00251349">
            <w:r w:rsidRPr="005642AC">
              <w:rPr>
                <w:rFonts w:eastAsia="Arial" w:cs="Arial"/>
                <w:b/>
              </w:rPr>
              <w:t>Reader and Task:</w:t>
            </w:r>
            <w:r w:rsidRPr="005642AC">
              <w:rPr>
                <w:rFonts w:eastAsia="Arial" w:cs="Arial"/>
                <w:b/>
                <w:color w:val="FF0000"/>
              </w:rPr>
              <w:t xml:space="preserve"> </w:t>
            </w:r>
          </w:p>
          <w:p w:rsidR="00251349" w:rsidRPr="005642AC" w:rsidRDefault="00251349" w:rsidP="00E129FD">
            <w:pPr>
              <w:rPr>
                <w:rFonts w:eastAsia="Arial" w:cs="Arial"/>
                <w:b/>
              </w:rPr>
            </w:pPr>
            <w:r w:rsidRPr="005642AC">
              <w:rPr>
                <w:rFonts w:eastAsia="Arial" w:cs="Arial"/>
              </w:rPr>
              <w:t xml:space="preserve">In addition to foundational knowledge of agriculture vocabulary, </w:t>
            </w:r>
            <w:r w:rsidR="00E129FD" w:rsidRPr="005642AC">
              <w:rPr>
                <w:rFonts w:eastAsia="Arial" w:cs="Arial"/>
              </w:rPr>
              <w:t>students should have a strong grasp of how laws are made to be able to fully engage in text</w:t>
            </w:r>
            <w:r w:rsidRPr="005642AC">
              <w:rPr>
                <w:rFonts w:eastAsia="Arial" w:cs="Arial"/>
              </w:rPr>
              <w:t xml:space="preserve">. </w:t>
            </w:r>
          </w:p>
        </w:tc>
      </w:tr>
    </w:tbl>
    <w:p w:rsidR="00642EC7" w:rsidRPr="005642AC" w:rsidRDefault="00642EC7" w:rsidP="00642EC7">
      <w:pPr>
        <w:spacing w:after="0" w:line="240" w:lineRule="auto"/>
        <w:rPr>
          <w:b/>
        </w:rPr>
      </w:pPr>
    </w:p>
    <w:p w:rsidR="00497E90" w:rsidRPr="005642AC" w:rsidRDefault="00497E90" w:rsidP="00642EC7">
      <w:pPr>
        <w:spacing w:after="0" w:line="240" w:lineRule="auto"/>
        <w:rPr>
          <w:b/>
        </w:rPr>
      </w:pPr>
    </w:p>
    <w:tbl>
      <w:tblPr>
        <w:tblStyle w:val="TableGrid"/>
        <w:tblW w:w="0" w:type="auto"/>
        <w:tblInd w:w="108" w:type="dxa"/>
        <w:tblLook w:val="04A0" w:firstRow="1" w:lastRow="0" w:firstColumn="1" w:lastColumn="0" w:noHBand="0" w:noVBand="1"/>
      </w:tblPr>
      <w:tblGrid>
        <w:gridCol w:w="3150"/>
        <w:gridCol w:w="9918"/>
      </w:tblGrid>
      <w:tr w:rsidR="00497E90" w:rsidRPr="005642AC" w:rsidTr="00E42FE1">
        <w:tc>
          <w:tcPr>
            <w:tcW w:w="13068" w:type="dxa"/>
            <w:gridSpan w:val="2"/>
            <w:shd w:val="clear" w:color="auto" w:fill="D9D9D9" w:themeFill="background1" w:themeFillShade="D9"/>
          </w:tcPr>
          <w:p w:rsidR="00497E90" w:rsidRPr="005642AC" w:rsidRDefault="00497E90" w:rsidP="00497E90">
            <w:pPr>
              <w:jc w:val="center"/>
              <w:rPr>
                <w:b/>
              </w:rPr>
            </w:pPr>
            <w:r w:rsidRPr="005642AC">
              <w:rPr>
                <w:b/>
              </w:rPr>
              <w:t xml:space="preserve">ELA/Literacy Common Core </w:t>
            </w:r>
            <w:r w:rsidR="006B5A38" w:rsidRPr="005642AC">
              <w:rPr>
                <w:b/>
              </w:rPr>
              <w:t xml:space="preserve">State </w:t>
            </w:r>
            <w:r w:rsidRPr="005642AC">
              <w:rPr>
                <w:b/>
              </w:rPr>
              <w:t>Standards addressed by task*</w:t>
            </w:r>
          </w:p>
        </w:tc>
      </w:tr>
      <w:tr w:rsidR="00E42FE1" w:rsidRPr="005642AC" w:rsidTr="00E42FE1">
        <w:tc>
          <w:tcPr>
            <w:tcW w:w="3150" w:type="dxa"/>
            <w:shd w:val="clear" w:color="auto" w:fill="D9D9D9" w:themeFill="background1" w:themeFillShade="D9"/>
          </w:tcPr>
          <w:p w:rsidR="00E42FE1" w:rsidRPr="005642AC" w:rsidRDefault="00E42FE1" w:rsidP="00166112">
            <w:pPr>
              <w:rPr>
                <w:b/>
              </w:rPr>
            </w:pPr>
            <w:r w:rsidRPr="005642AC">
              <w:rPr>
                <w:b/>
              </w:rPr>
              <w:t>Strand</w:t>
            </w:r>
          </w:p>
        </w:tc>
        <w:tc>
          <w:tcPr>
            <w:tcW w:w="9918" w:type="dxa"/>
            <w:shd w:val="clear" w:color="auto" w:fill="D9D9D9" w:themeFill="background1" w:themeFillShade="D9"/>
          </w:tcPr>
          <w:p w:rsidR="00E42FE1" w:rsidRPr="005642AC" w:rsidRDefault="00E42FE1" w:rsidP="00166112">
            <w:pPr>
              <w:rPr>
                <w:b/>
              </w:rPr>
            </w:pPr>
            <w:r w:rsidRPr="005642AC">
              <w:rPr>
                <w:b/>
              </w:rPr>
              <w:t xml:space="preserve">Grades </w:t>
            </w:r>
            <w:r w:rsidR="006B5A38" w:rsidRPr="005642AC">
              <w:rPr>
                <w:b/>
              </w:rPr>
              <w:t>11-12</w:t>
            </w:r>
          </w:p>
        </w:tc>
      </w:tr>
      <w:tr w:rsidR="002B425E" w:rsidRPr="005642AC" w:rsidTr="00E42FE1">
        <w:tc>
          <w:tcPr>
            <w:tcW w:w="3150" w:type="dxa"/>
          </w:tcPr>
          <w:p w:rsidR="002B425E" w:rsidRPr="005642AC" w:rsidRDefault="002B425E" w:rsidP="001C1AF3">
            <w:r w:rsidRPr="005642AC">
              <w:t>CCSS Reading for Technical Subjects: Key Ideas and Details</w:t>
            </w:r>
          </w:p>
        </w:tc>
        <w:tc>
          <w:tcPr>
            <w:tcW w:w="9918" w:type="dxa"/>
          </w:tcPr>
          <w:p w:rsidR="002B425E" w:rsidRPr="005642AC" w:rsidRDefault="002B425E" w:rsidP="001C1AF3">
            <w:pPr>
              <w:rPr>
                <w:b/>
              </w:rPr>
            </w:pPr>
            <w:r w:rsidRPr="005642AC">
              <w:rPr>
                <w:b/>
              </w:rPr>
              <w:t xml:space="preserve">1. </w:t>
            </w:r>
            <w:r w:rsidRPr="005642AC">
              <w:t>Cite specific textual evidence to support analysis of science and technical texts, attending to important distinctions the author makes and to any gaps or inconsistencies in the account.</w:t>
            </w:r>
          </w:p>
          <w:p w:rsidR="002B425E" w:rsidRPr="005642AC" w:rsidRDefault="002B425E" w:rsidP="001C1AF3">
            <w:pPr>
              <w:rPr>
                <w:b/>
              </w:rPr>
            </w:pPr>
            <w:r w:rsidRPr="005642AC">
              <w:rPr>
                <w:b/>
              </w:rPr>
              <w:t xml:space="preserve">2. </w:t>
            </w:r>
            <w:r w:rsidRPr="005642AC">
              <w:t>Determine the central ideas or conclusions of a text; summarize complex concepts, processes, or information presented in a text by paraphrasing them in simpler but still accurate terms.</w:t>
            </w:r>
          </w:p>
        </w:tc>
      </w:tr>
      <w:tr w:rsidR="002B425E" w:rsidRPr="005642AC" w:rsidTr="00E42FE1">
        <w:tc>
          <w:tcPr>
            <w:tcW w:w="3150" w:type="dxa"/>
          </w:tcPr>
          <w:p w:rsidR="002B425E" w:rsidRPr="005642AC" w:rsidRDefault="002B425E" w:rsidP="001C1AF3">
            <w:r w:rsidRPr="005642AC">
              <w:t>CCSS Reading for Technical Subjects: Integration of Knowledge and Ideas</w:t>
            </w:r>
          </w:p>
        </w:tc>
        <w:tc>
          <w:tcPr>
            <w:tcW w:w="9918" w:type="dxa"/>
          </w:tcPr>
          <w:p w:rsidR="002B425E" w:rsidRPr="005642AC" w:rsidRDefault="002B425E" w:rsidP="001C1AF3">
            <w:r w:rsidRPr="005642AC">
              <w:rPr>
                <w:b/>
              </w:rPr>
              <w:t>7.</w:t>
            </w:r>
            <w:r w:rsidRPr="005642AC">
              <w:t xml:space="preserve"> Integrate and evaluate multiple sources of information presented in diverse formats and media (e.g., quantitative data, video, multimedia) in order to address a question or solve a problem.</w:t>
            </w:r>
          </w:p>
        </w:tc>
      </w:tr>
      <w:tr w:rsidR="002B425E" w:rsidRPr="005642AC" w:rsidTr="00E42FE1">
        <w:tc>
          <w:tcPr>
            <w:tcW w:w="3150" w:type="dxa"/>
          </w:tcPr>
          <w:p w:rsidR="002B425E" w:rsidRPr="005642AC" w:rsidRDefault="002B425E" w:rsidP="001C1AF3">
            <w:r w:rsidRPr="005642AC">
              <w:t>CCSS Writing for Technical Subjects: Text Types and Purposes</w:t>
            </w:r>
          </w:p>
        </w:tc>
        <w:tc>
          <w:tcPr>
            <w:tcW w:w="9918" w:type="dxa"/>
          </w:tcPr>
          <w:p w:rsidR="002B425E" w:rsidRPr="005642AC" w:rsidRDefault="002B425E" w:rsidP="001C1AF3">
            <w:pPr>
              <w:rPr>
                <w:i/>
              </w:rPr>
            </w:pPr>
            <w:r w:rsidRPr="005642AC">
              <w:rPr>
                <w:b/>
              </w:rPr>
              <w:t xml:space="preserve">1. </w:t>
            </w:r>
            <w:r w:rsidRPr="005642AC">
              <w:t xml:space="preserve">Write arguments focused on </w:t>
            </w:r>
            <w:r w:rsidRPr="005642AC">
              <w:rPr>
                <w:i/>
              </w:rPr>
              <w:t>discipline-specific content.</w:t>
            </w:r>
          </w:p>
          <w:p w:rsidR="002B425E" w:rsidRPr="005642AC" w:rsidRDefault="002B425E" w:rsidP="002B425E">
            <w:pPr>
              <w:pStyle w:val="ListParagraph"/>
              <w:numPr>
                <w:ilvl w:val="0"/>
                <w:numId w:val="3"/>
              </w:numPr>
            </w:pPr>
            <w:r w:rsidRPr="005642AC">
              <w:t>Introduce precise, knowledgeable claim(s), establish the significance of the claim(s), distinguish the claim(s) from alternate or opposing claims, and create an organization that logically sequences the claim(s), counterclaims, reasons, and evidence.</w:t>
            </w:r>
          </w:p>
          <w:p w:rsidR="002B425E" w:rsidRPr="005642AC" w:rsidRDefault="002B425E" w:rsidP="002B425E">
            <w:pPr>
              <w:pStyle w:val="ListParagraph"/>
              <w:numPr>
                <w:ilvl w:val="0"/>
                <w:numId w:val="3"/>
              </w:numPr>
            </w:pPr>
            <w:r w:rsidRPr="005642AC">
              <w:t>Develop claim(s) and counterclaims fairly and thoroughly, supplying the most relevant data and evidence for each while pointing out the strengths and limitations of both claims(s) and counterclaims in a discipline-appropriate form that anticipates the audience’s knowledge level, concerns, values, and possible biases.</w:t>
            </w:r>
          </w:p>
          <w:p w:rsidR="002B425E" w:rsidRPr="005642AC" w:rsidRDefault="002B425E" w:rsidP="002B425E">
            <w:pPr>
              <w:pStyle w:val="ListParagraph"/>
              <w:numPr>
                <w:ilvl w:val="0"/>
                <w:numId w:val="3"/>
              </w:numPr>
            </w:pPr>
            <w:r w:rsidRPr="005642AC">
              <w:t xml:space="preserve">Use words, phrases, and clauses as well as varied syntax to link the major sections of the text, create cohesion, and clarify the relationships between claim(s) and reasons, between reasons and </w:t>
            </w:r>
            <w:r w:rsidRPr="005642AC">
              <w:lastRenderedPageBreak/>
              <w:t>evidence, and between claim(s) and counterclaims.</w:t>
            </w:r>
          </w:p>
          <w:p w:rsidR="002B425E" w:rsidRPr="005642AC" w:rsidRDefault="002B425E" w:rsidP="002B425E">
            <w:pPr>
              <w:pStyle w:val="ListParagraph"/>
              <w:numPr>
                <w:ilvl w:val="0"/>
                <w:numId w:val="3"/>
              </w:numPr>
            </w:pPr>
            <w:r w:rsidRPr="005642AC">
              <w:t>Establ</w:t>
            </w:r>
            <w:r w:rsidR="00487B4E">
              <w:t>ish and maintain a formal style</w:t>
            </w:r>
            <w:r w:rsidRPr="005642AC">
              <w:t xml:space="preserve"> and objective tone while attending to the norms and conventions of the discipline in which they are writing.</w:t>
            </w:r>
          </w:p>
          <w:p w:rsidR="002B425E" w:rsidRPr="005642AC" w:rsidRDefault="002B425E" w:rsidP="002B425E">
            <w:pPr>
              <w:pStyle w:val="ListParagraph"/>
              <w:numPr>
                <w:ilvl w:val="0"/>
                <w:numId w:val="3"/>
              </w:numPr>
            </w:pPr>
            <w:r w:rsidRPr="005642AC">
              <w:t>Provide a concluding statement or section that follows from or supports the argument presented.</w:t>
            </w:r>
          </w:p>
        </w:tc>
      </w:tr>
      <w:tr w:rsidR="002B425E" w:rsidRPr="005642AC" w:rsidTr="00E42FE1">
        <w:tc>
          <w:tcPr>
            <w:tcW w:w="3150" w:type="dxa"/>
          </w:tcPr>
          <w:p w:rsidR="002B425E" w:rsidRPr="005642AC" w:rsidRDefault="002B425E" w:rsidP="001C1AF3">
            <w:r w:rsidRPr="005642AC">
              <w:lastRenderedPageBreak/>
              <w:t>CCSS Writing for Technical Subjects: Production and Distribution of Writing</w:t>
            </w:r>
          </w:p>
        </w:tc>
        <w:tc>
          <w:tcPr>
            <w:tcW w:w="9918" w:type="dxa"/>
          </w:tcPr>
          <w:p w:rsidR="002B425E" w:rsidRPr="005642AC" w:rsidRDefault="002B425E" w:rsidP="001C1AF3">
            <w:r w:rsidRPr="005642AC">
              <w:rPr>
                <w:b/>
              </w:rPr>
              <w:t xml:space="preserve">4. </w:t>
            </w:r>
            <w:r w:rsidRPr="005642AC">
              <w:t>Produce clear and coherent writing in which the development, organization, and style are appropriate to task, purpose, and audience.</w:t>
            </w:r>
          </w:p>
          <w:p w:rsidR="002B425E" w:rsidRPr="005642AC" w:rsidRDefault="002B425E" w:rsidP="001C1AF3">
            <w:r w:rsidRPr="005642AC">
              <w:rPr>
                <w:b/>
              </w:rPr>
              <w:t xml:space="preserve">5. </w:t>
            </w:r>
            <w:r w:rsidRPr="005642AC">
              <w:t>Develop and strengthen writing as needed by planning, revising, editing, rewriting, or trying a new approach, focusing on addressing what is most significant for a specific purpose and audience.*</w:t>
            </w:r>
          </w:p>
        </w:tc>
      </w:tr>
      <w:tr w:rsidR="002B425E" w:rsidRPr="005642AC" w:rsidTr="00F919D6">
        <w:tc>
          <w:tcPr>
            <w:tcW w:w="3150" w:type="dxa"/>
            <w:tcBorders>
              <w:bottom w:val="single" w:sz="4" w:space="0" w:color="auto"/>
            </w:tcBorders>
          </w:tcPr>
          <w:p w:rsidR="002B425E" w:rsidRPr="005642AC" w:rsidRDefault="002B425E" w:rsidP="001C1AF3">
            <w:r w:rsidRPr="005642AC">
              <w:t>CCSS Writing for Technical Subjects: Research to Build and Present Knowledge</w:t>
            </w:r>
          </w:p>
        </w:tc>
        <w:tc>
          <w:tcPr>
            <w:tcW w:w="9918" w:type="dxa"/>
            <w:tcBorders>
              <w:bottom w:val="single" w:sz="4" w:space="0" w:color="auto"/>
            </w:tcBorders>
          </w:tcPr>
          <w:p w:rsidR="002B425E" w:rsidRPr="005642AC" w:rsidRDefault="002B425E" w:rsidP="001C1AF3">
            <w:r w:rsidRPr="005642AC">
              <w:rPr>
                <w:b/>
              </w:rPr>
              <w:t xml:space="preserve">9. </w:t>
            </w:r>
            <w:r w:rsidRPr="005642AC">
              <w:t>Draw evidence from informational texts to support analysis, reflection, and research.</w:t>
            </w:r>
          </w:p>
        </w:tc>
      </w:tr>
      <w:tr w:rsidR="00F919D6" w:rsidRPr="005642AC" w:rsidTr="00F919D6">
        <w:tc>
          <w:tcPr>
            <w:tcW w:w="13068" w:type="dxa"/>
            <w:gridSpan w:val="2"/>
            <w:shd w:val="clear" w:color="auto" w:fill="D9D9D9" w:themeFill="background1" w:themeFillShade="D9"/>
          </w:tcPr>
          <w:p w:rsidR="00F919D6" w:rsidRPr="005642AC" w:rsidRDefault="00F919D6" w:rsidP="00166112">
            <w:pPr>
              <w:jc w:val="center"/>
              <w:rPr>
                <w:b/>
              </w:rPr>
            </w:pPr>
            <w:r w:rsidRPr="005642AC">
              <w:rPr>
                <w:b/>
              </w:rPr>
              <w:t>Tennessee Agriculture Standards addressed by task</w:t>
            </w:r>
          </w:p>
        </w:tc>
      </w:tr>
      <w:tr w:rsidR="002B425E" w:rsidRPr="005642AC" w:rsidTr="00E42FE1">
        <w:tc>
          <w:tcPr>
            <w:tcW w:w="3150" w:type="dxa"/>
          </w:tcPr>
          <w:p w:rsidR="002B425E" w:rsidRPr="005642AC" w:rsidRDefault="002B425E" w:rsidP="001C1AF3">
            <w:r w:rsidRPr="005642AC">
              <w:t>Tennessee Standards for Agricultural Business/Finance</w:t>
            </w:r>
          </w:p>
        </w:tc>
        <w:tc>
          <w:tcPr>
            <w:tcW w:w="9918" w:type="dxa"/>
          </w:tcPr>
          <w:p w:rsidR="002B425E" w:rsidRPr="005642AC" w:rsidRDefault="002B425E" w:rsidP="001C1AF3">
            <w:r w:rsidRPr="005642AC">
              <w:rPr>
                <w:b/>
              </w:rPr>
              <w:t xml:space="preserve">3.1 </w:t>
            </w:r>
            <w:r w:rsidRPr="005642AC">
              <w:t>Examine different forms of credit payment in agribusiness and personal finances.</w:t>
            </w:r>
          </w:p>
          <w:p w:rsidR="002B425E" w:rsidRPr="005642AC" w:rsidRDefault="002B425E" w:rsidP="001C1AF3">
            <w:r w:rsidRPr="005642AC">
              <w:rPr>
                <w:b/>
              </w:rPr>
              <w:t xml:space="preserve">4.1 </w:t>
            </w:r>
            <w:r w:rsidRPr="005642AC">
              <w:t>Evaluate and explain the different kinds of economic systems and describe the role of government in each.</w:t>
            </w:r>
          </w:p>
          <w:p w:rsidR="002B425E" w:rsidRPr="005642AC" w:rsidRDefault="002B425E" w:rsidP="001C1AF3">
            <w:r w:rsidRPr="005642AC">
              <w:rPr>
                <w:b/>
              </w:rPr>
              <w:t xml:space="preserve">8.6 </w:t>
            </w:r>
            <w:r w:rsidRPr="005642AC">
              <w:t>Discuss the importance and proper use of credit/loans in an agribusiness venture.</w:t>
            </w:r>
          </w:p>
          <w:p w:rsidR="002B425E" w:rsidRPr="005642AC" w:rsidRDefault="002B425E" w:rsidP="001C1AF3">
            <w:r w:rsidRPr="005642AC">
              <w:rPr>
                <w:b/>
              </w:rPr>
              <w:t xml:space="preserve">8.8 </w:t>
            </w:r>
            <w:r w:rsidRPr="005642AC">
              <w:t>Demonstrate an understanding of inflation and its impact on the purchasing power in an</w:t>
            </w:r>
            <w:r w:rsidR="005A6E65">
              <w:t xml:space="preserve"> </w:t>
            </w:r>
            <w:r w:rsidRPr="005642AC">
              <w:t>agribusiness.</w:t>
            </w:r>
          </w:p>
          <w:p w:rsidR="002B425E" w:rsidRPr="005642AC" w:rsidRDefault="002B425E" w:rsidP="001C1AF3">
            <w:r w:rsidRPr="005642AC">
              <w:rPr>
                <w:b/>
              </w:rPr>
              <w:t xml:space="preserve">8.9 </w:t>
            </w:r>
            <w:r w:rsidRPr="005642AC">
              <w:t>Examine the meaning and importance of taxation, insurance, and depreciation in the agricultural industry.</w:t>
            </w:r>
          </w:p>
        </w:tc>
      </w:tr>
    </w:tbl>
    <w:p w:rsidR="00F919D6" w:rsidRPr="005642AC" w:rsidRDefault="00F919D6" w:rsidP="00F919D6">
      <w:pPr>
        <w:spacing w:after="0" w:line="240" w:lineRule="auto"/>
      </w:pPr>
      <w:r w:rsidRPr="005642AC">
        <w:t>* Standards noted with an asterisk (*) will only be covered if this ac</w:t>
      </w:r>
      <w:r w:rsidR="005A6E65">
        <w:t xml:space="preserve">tivity is conducted as a longer </w:t>
      </w:r>
      <w:r w:rsidRPr="005642AC">
        <w:t xml:space="preserve">form lesson and writing </w:t>
      </w:r>
      <w:r w:rsidR="006B5A38" w:rsidRPr="005642AC">
        <w:t>project</w:t>
      </w:r>
      <w:r w:rsidRPr="005642AC">
        <w:t>.  Other standards may be covered and/or assessed through using this activity as an assessment or writing prompt.</w:t>
      </w:r>
    </w:p>
    <w:p w:rsidR="00497E90" w:rsidRDefault="00497E90" w:rsidP="00642EC7">
      <w:pPr>
        <w:spacing w:after="0" w:line="240" w:lineRule="auto"/>
        <w:rPr>
          <w:b/>
        </w:rPr>
      </w:pPr>
    </w:p>
    <w:p w:rsidR="005A6E65" w:rsidRPr="005642AC" w:rsidRDefault="005A6E65" w:rsidP="00642EC7">
      <w:pPr>
        <w:spacing w:after="0" w:line="240" w:lineRule="auto"/>
        <w:rPr>
          <w:b/>
        </w:rPr>
      </w:pPr>
    </w:p>
    <w:p w:rsidR="00F919D6" w:rsidRPr="005642AC" w:rsidRDefault="00F919D6" w:rsidP="00642EC7">
      <w:pPr>
        <w:spacing w:after="0" w:line="240" w:lineRule="auto"/>
        <w:rPr>
          <w:b/>
        </w:rPr>
      </w:pPr>
    </w:p>
    <w:tbl>
      <w:tblPr>
        <w:tblStyle w:val="TableGrid"/>
        <w:tblW w:w="0" w:type="auto"/>
        <w:tblLook w:val="04A0" w:firstRow="1" w:lastRow="0" w:firstColumn="1" w:lastColumn="0" w:noHBand="0" w:noVBand="1"/>
      </w:tblPr>
      <w:tblGrid>
        <w:gridCol w:w="3708"/>
        <w:gridCol w:w="9468"/>
      </w:tblGrid>
      <w:tr w:rsidR="00F919D6" w:rsidRPr="005642AC" w:rsidTr="00F919D6">
        <w:tc>
          <w:tcPr>
            <w:tcW w:w="13176" w:type="dxa"/>
            <w:gridSpan w:val="2"/>
            <w:shd w:val="clear" w:color="auto" w:fill="D9D9D9" w:themeFill="background1" w:themeFillShade="D9"/>
          </w:tcPr>
          <w:p w:rsidR="00F919D6" w:rsidRPr="005642AC" w:rsidRDefault="00F919D6" w:rsidP="002803B6">
            <w:pPr>
              <w:jc w:val="center"/>
              <w:rPr>
                <w:b/>
              </w:rPr>
            </w:pPr>
            <w:r w:rsidRPr="005642AC">
              <w:rPr>
                <w:b/>
              </w:rPr>
              <w:t>What key insights should students take from these texts?</w:t>
            </w:r>
          </w:p>
        </w:tc>
      </w:tr>
      <w:tr w:rsidR="00F919D6" w:rsidRPr="005642AC" w:rsidTr="002803B6">
        <w:tc>
          <w:tcPr>
            <w:tcW w:w="13176" w:type="dxa"/>
            <w:gridSpan w:val="2"/>
            <w:tcBorders>
              <w:bottom w:val="single" w:sz="4" w:space="0" w:color="auto"/>
            </w:tcBorders>
          </w:tcPr>
          <w:p w:rsidR="002803B6" w:rsidRPr="005642AC" w:rsidRDefault="002B425E" w:rsidP="00982228">
            <w:pPr>
              <w:pStyle w:val="ListParagraph"/>
              <w:numPr>
                <w:ilvl w:val="0"/>
                <w:numId w:val="5"/>
              </w:numPr>
              <w:spacing w:before="240"/>
            </w:pPr>
            <w:r w:rsidRPr="005642AC">
              <w:t>U.S. Government spends more than $20 billion annually on farm subsidies.</w:t>
            </w:r>
          </w:p>
          <w:p w:rsidR="00F919D6" w:rsidRPr="005642AC" w:rsidRDefault="002B425E" w:rsidP="00982228">
            <w:pPr>
              <w:pStyle w:val="ListParagraph"/>
              <w:numPr>
                <w:ilvl w:val="0"/>
                <w:numId w:val="5"/>
              </w:numPr>
              <w:spacing w:before="240"/>
            </w:pPr>
            <w:r w:rsidRPr="005642AC">
              <w:t>History and intent of government subsidies to farmers.</w:t>
            </w:r>
          </w:p>
          <w:p w:rsidR="002803B6" w:rsidRPr="005642AC" w:rsidRDefault="002B425E" w:rsidP="00982228">
            <w:pPr>
              <w:pStyle w:val="ListParagraph"/>
              <w:numPr>
                <w:ilvl w:val="0"/>
                <w:numId w:val="5"/>
              </w:numPr>
              <w:spacing w:before="240"/>
            </w:pPr>
            <w:r w:rsidRPr="005642AC">
              <w:t>Differences in interpretation of data to support the success or failure of specific farm subsidies, as measured against their intent.</w:t>
            </w:r>
          </w:p>
          <w:p w:rsidR="002B425E" w:rsidRPr="005642AC" w:rsidRDefault="002B425E" w:rsidP="00982228">
            <w:pPr>
              <w:pStyle w:val="ListParagraph"/>
              <w:numPr>
                <w:ilvl w:val="0"/>
                <w:numId w:val="5"/>
              </w:numPr>
              <w:spacing w:before="240"/>
            </w:pPr>
            <w:r w:rsidRPr="005642AC">
              <w:t>How changes to subsidies from the U.S. Government – as governed by the “Farm Bill” – impact farmers, taxpayers, and the U.S. economy.</w:t>
            </w:r>
          </w:p>
          <w:p w:rsidR="00982228" w:rsidRPr="005642AC" w:rsidRDefault="00982228" w:rsidP="00982228">
            <w:pPr>
              <w:pStyle w:val="ListParagraph"/>
              <w:spacing w:before="240"/>
            </w:pPr>
          </w:p>
        </w:tc>
      </w:tr>
      <w:tr w:rsidR="002803B6" w:rsidRPr="005642AC" w:rsidTr="002803B6">
        <w:tc>
          <w:tcPr>
            <w:tcW w:w="13176" w:type="dxa"/>
            <w:gridSpan w:val="2"/>
            <w:shd w:val="clear" w:color="auto" w:fill="D9D9D9" w:themeFill="background1" w:themeFillShade="D9"/>
          </w:tcPr>
          <w:p w:rsidR="002803B6" w:rsidRPr="005642AC" w:rsidRDefault="002803B6" w:rsidP="00982228">
            <w:pPr>
              <w:pStyle w:val="ListParagraph"/>
              <w:ind w:left="0"/>
              <w:jc w:val="center"/>
              <w:rPr>
                <w:b/>
              </w:rPr>
            </w:pPr>
            <w:r w:rsidRPr="005642AC">
              <w:rPr>
                <w:b/>
              </w:rPr>
              <w:t>Text-Dependent Questions</w:t>
            </w:r>
          </w:p>
        </w:tc>
      </w:tr>
      <w:tr w:rsidR="002803B6" w:rsidRPr="005642AC" w:rsidTr="00982228">
        <w:trPr>
          <w:trHeight w:val="1250"/>
        </w:trPr>
        <w:tc>
          <w:tcPr>
            <w:tcW w:w="13176" w:type="dxa"/>
            <w:gridSpan w:val="2"/>
            <w:tcBorders>
              <w:bottom w:val="single" w:sz="4" w:space="0" w:color="auto"/>
            </w:tcBorders>
          </w:tcPr>
          <w:p w:rsidR="002803B6" w:rsidRPr="005642AC" w:rsidRDefault="002B425E" w:rsidP="00982228">
            <w:pPr>
              <w:pStyle w:val="ListParagraph"/>
              <w:numPr>
                <w:ilvl w:val="0"/>
                <w:numId w:val="6"/>
              </w:numPr>
              <w:spacing w:before="240"/>
              <w:ind w:left="720"/>
            </w:pPr>
            <w:r w:rsidRPr="005642AC">
              <w:t>What data does Imhoff use to refute the claim that we see Smith make that the richest farm subsidy recipients take in the majority of the payments?</w:t>
            </w:r>
          </w:p>
          <w:p w:rsidR="00982228" w:rsidRPr="005642AC" w:rsidRDefault="00E129FD" w:rsidP="002803B6">
            <w:pPr>
              <w:pStyle w:val="ListParagraph"/>
              <w:numPr>
                <w:ilvl w:val="0"/>
                <w:numId w:val="6"/>
              </w:numPr>
              <w:ind w:left="720"/>
            </w:pPr>
            <w:r w:rsidRPr="005642AC">
              <w:t xml:space="preserve">How does Riedl structure his argument against farm subsidies? </w:t>
            </w:r>
          </w:p>
          <w:p w:rsidR="00982228" w:rsidRPr="005642AC" w:rsidRDefault="00E129FD" w:rsidP="002803B6">
            <w:pPr>
              <w:pStyle w:val="ListParagraph"/>
              <w:numPr>
                <w:ilvl w:val="0"/>
                <w:numId w:val="6"/>
              </w:numPr>
              <w:ind w:left="720"/>
            </w:pPr>
            <w:r w:rsidRPr="005642AC">
              <w:t xml:space="preserve">What potential outcomes does Smith outline as possible approaches to reforming (and reducing) agriculture subsidies?  What evidence does he give </w:t>
            </w:r>
            <w:r w:rsidR="001E51AF" w:rsidRPr="005642AC">
              <w:t>for</w:t>
            </w:r>
            <w:r w:rsidRPr="005642AC">
              <w:t xml:space="preserve"> either his support or opposition to each approach?</w:t>
            </w:r>
          </w:p>
          <w:p w:rsidR="00982228" w:rsidRPr="005642AC" w:rsidRDefault="00982228" w:rsidP="00E129FD">
            <w:pPr>
              <w:pStyle w:val="ListParagraph"/>
            </w:pPr>
          </w:p>
        </w:tc>
      </w:tr>
      <w:tr w:rsidR="00982228" w:rsidRPr="005642AC" w:rsidTr="00982228">
        <w:trPr>
          <w:trHeight w:val="70"/>
        </w:trPr>
        <w:tc>
          <w:tcPr>
            <w:tcW w:w="3708" w:type="dxa"/>
            <w:shd w:val="clear" w:color="auto" w:fill="D9D9D9" w:themeFill="background1" w:themeFillShade="D9"/>
          </w:tcPr>
          <w:p w:rsidR="00982228" w:rsidRPr="005642AC" w:rsidRDefault="00982228" w:rsidP="00166112">
            <w:pPr>
              <w:jc w:val="center"/>
            </w:pPr>
            <w:r w:rsidRPr="005642AC">
              <w:rPr>
                <w:rFonts w:eastAsia="Arial" w:cs="Arial"/>
                <w:b/>
              </w:rPr>
              <w:t>Writing Mode</w:t>
            </w:r>
          </w:p>
        </w:tc>
        <w:tc>
          <w:tcPr>
            <w:tcW w:w="9468" w:type="dxa"/>
            <w:shd w:val="clear" w:color="auto" w:fill="D9D9D9" w:themeFill="background1" w:themeFillShade="D9"/>
          </w:tcPr>
          <w:p w:rsidR="00982228" w:rsidRPr="005642AC" w:rsidRDefault="00982228" w:rsidP="00166112">
            <w:pPr>
              <w:jc w:val="center"/>
            </w:pPr>
            <w:r w:rsidRPr="005642AC">
              <w:rPr>
                <w:rFonts w:eastAsia="Arial" w:cs="Arial"/>
                <w:b/>
              </w:rPr>
              <w:t>Writing Prompt</w:t>
            </w:r>
          </w:p>
        </w:tc>
      </w:tr>
      <w:tr w:rsidR="00982228" w:rsidRPr="005642AC" w:rsidTr="00982228">
        <w:trPr>
          <w:trHeight w:val="1250"/>
        </w:trPr>
        <w:tc>
          <w:tcPr>
            <w:tcW w:w="3708" w:type="dxa"/>
          </w:tcPr>
          <w:p w:rsidR="00982228" w:rsidRPr="005642AC" w:rsidRDefault="002B425E" w:rsidP="00982228">
            <w:pPr>
              <w:pStyle w:val="ListParagraph"/>
              <w:spacing w:before="240"/>
              <w:ind w:left="0"/>
              <w:jc w:val="center"/>
            </w:pPr>
            <w:r w:rsidRPr="005642AC">
              <w:t>Argumentative</w:t>
            </w:r>
          </w:p>
        </w:tc>
        <w:tc>
          <w:tcPr>
            <w:tcW w:w="9468" w:type="dxa"/>
          </w:tcPr>
          <w:p w:rsidR="002B425E" w:rsidRPr="005642AC" w:rsidRDefault="002B425E" w:rsidP="001541C5">
            <w:pPr>
              <w:spacing w:before="240"/>
            </w:pPr>
            <w:r w:rsidRPr="005642AC">
              <w:t xml:space="preserve">Based on the articles that you have read, develop a logical argumentative essay supporting or opposing government subsidization of agriculture commodities. Based on the evidence presented, either support or oppose the need for government subsidies in your </w:t>
            </w:r>
            <w:r w:rsidR="001541C5">
              <w:t xml:space="preserve">concluding paragraph. Be sure to develop your claim and counterclaim, include the strengths and limitations of each, and cite </w:t>
            </w:r>
            <w:r w:rsidRPr="005642AC">
              <w:t>evidence</w:t>
            </w:r>
            <w:r w:rsidR="001541C5">
              <w:t xml:space="preserve"> from the text </w:t>
            </w:r>
            <w:r w:rsidRPr="005642AC">
              <w:t xml:space="preserve">using simpler, but still accurate, terms in your </w:t>
            </w:r>
            <w:r w:rsidR="001541C5">
              <w:t>explanation</w:t>
            </w:r>
            <w:r w:rsidRPr="005642AC">
              <w:t>.</w:t>
            </w:r>
          </w:p>
        </w:tc>
      </w:tr>
    </w:tbl>
    <w:p w:rsidR="00F919D6" w:rsidRPr="005642AC" w:rsidRDefault="00F919D6" w:rsidP="00642EC7">
      <w:pPr>
        <w:spacing w:after="0" w:line="240" w:lineRule="auto"/>
        <w:rPr>
          <w:b/>
        </w:rPr>
      </w:pPr>
    </w:p>
    <w:p w:rsidR="00F919D6" w:rsidRPr="005642AC" w:rsidRDefault="00F919D6" w:rsidP="00642EC7">
      <w:pPr>
        <w:spacing w:after="0" w:line="240" w:lineRule="auto"/>
        <w:rPr>
          <w:b/>
        </w:rPr>
      </w:pPr>
    </w:p>
    <w:p w:rsidR="00881053" w:rsidRPr="005642AC" w:rsidRDefault="00881053">
      <w:pPr>
        <w:rPr>
          <w:b/>
        </w:rPr>
      </w:pPr>
      <w:r w:rsidRPr="005642AC">
        <w:rPr>
          <w:b/>
        </w:rPr>
        <w:br w:type="page"/>
      </w:r>
    </w:p>
    <w:p w:rsidR="00FC4BD2" w:rsidRPr="005642AC" w:rsidRDefault="00FC4BD2" w:rsidP="00FC4BD2">
      <w:pPr>
        <w:spacing w:line="240" w:lineRule="auto"/>
      </w:pPr>
      <w:r w:rsidRPr="005642AC">
        <w:rPr>
          <w:b/>
        </w:rPr>
        <w:t xml:space="preserve">Discussion: </w:t>
      </w:r>
      <w:r w:rsidRPr="005642AC">
        <w:t xml:space="preserve">These texts could be explored orally and used to form the basic foundation of a lesson or series of lessons. </w:t>
      </w:r>
      <w:r w:rsidR="006528CB" w:rsidRPr="005642AC">
        <w:t>C</w:t>
      </w:r>
      <w:r w:rsidRPr="005642AC">
        <w:t>lose-reading questions should be developed in advance in order to drive student understanding of the material while a</w:t>
      </w:r>
      <w:r w:rsidR="00BE7FA2">
        <w:t xml:space="preserve">lso practicing reading skills. </w:t>
      </w:r>
      <w:r w:rsidRPr="005642AC">
        <w:t xml:space="preserve">For information on how to develop questions for this type of discussion, visit </w:t>
      </w:r>
      <w:hyperlink r:id="rId11" w:history="1">
        <w:r w:rsidRPr="005642AC">
          <w:rPr>
            <w:rStyle w:val="Hyperlink"/>
          </w:rPr>
          <w:t>http://www.tncore.org/english_language_arts/curricular_resources/text_dependent_questions.aspx</w:t>
        </w:r>
      </w:hyperlink>
      <w:r w:rsidRPr="005642AC">
        <w:t xml:space="preserve">. </w:t>
      </w:r>
    </w:p>
    <w:p w:rsidR="00FC4BD2" w:rsidRPr="005642AC" w:rsidRDefault="00FC4BD2" w:rsidP="00FC4BD2">
      <w:pPr>
        <w:spacing w:line="240" w:lineRule="auto"/>
      </w:pPr>
      <w:r w:rsidRPr="005642AC">
        <w:rPr>
          <w:b/>
        </w:rPr>
        <w:t xml:space="preserve">Writing and/or Assessment: </w:t>
      </w:r>
      <w:r w:rsidRPr="005642AC">
        <w:t xml:space="preserve">The writing prompt </w:t>
      </w:r>
      <w:r w:rsidR="006528CB" w:rsidRPr="005642AC">
        <w:t>included</w:t>
      </w:r>
      <w:r w:rsidRPr="005642AC">
        <w:t xml:space="preserve"> can be either a constructed-response assessment or a longer-term writing assignment for students to develop and refine over time to </w:t>
      </w:r>
      <w:r w:rsidR="006B5A38" w:rsidRPr="005642AC">
        <w:t>gauge student understanding of a</w:t>
      </w:r>
      <w:r w:rsidRPr="005642AC">
        <w:t xml:space="preserve">griculture content as well as </w:t>
      </w:r>
      <w:r w:rsidR="006B5A38" w:rsidRPr="005642AC">
        <w:t>r</w:t>
      </w:r>
      <w:r w:rsidRPr="005642AC">
        <w:t xml:space="preserve">eading and </w:t>
      </w:r>
      <w:r w:rsidR="006B5A38" w:rsidRPr="005642AC">
        <w:t>w</w:t>
      </w:r>
      <w:r w:rsidRPr="005642AC">
        <w:t>riting skills as outlined by the Common Core State Standards for English Language Arts in Technical Subjects.</w:t>
      </w:r>
      <w:r w:rsidR="00BE7FA2">
        <w:t xml:space="preserve"> </w:t>
      </w:r>
      <w:r w:rsidR="006528CB" w:rsidRPr="005642AC">
        <w:t xml:space="preserve">An appropriate writing rubric – such as those found at </w:t>
      </w:r>
      <w:hyperlink r:id="rId12" w:history="1">
        <w:r w:rsidR="006B5A38" w:rsidRPr="005642AC">
          <w:rPr>
            <w:rStyle w:val="Hyperlink"/>
          </w:rPr>
          <w:t>http://tncore.org/literacy_in_science_and_technology/assessment/scoring_resources.aspx</w:t>
        </w:r>
      </w:hyperlink>
      <w:r w:rsidR="006528CB" w:rsidRPr="005642AC">
        <w:t xml:space="preserve"> – should be used to assess student work.</w:t>
      </w:r>
    </w:p>
    <w:p w:rsidR="00FC4BD2" w:rsidRPr="005642AC" w:rsidRDefault="00FC4BD2" w:rsidP="00FC4BD2">
      <w:pPr>
        <w:pStyle w:val="ListParagraph"/>
        <w:numPr>
          <w:ilvl w:val="0"/>
          <w:numId w:val="2"/>
        </w:numPr>
        <w:spacing w:line="240" w:lineRule="auto"/>
      </w:pPr>
      <w:r w:rsidRPr="005642AC">
        <w:rPr>
          <w:b/>
        </w:rPr>
        <w:t xml:space="preserve">Assessment: </w:t>
      </w:r>
      <w:r w:rsidRPr="005642AC">
        <w:t>If using this material as an assessment, pr</w:t>
      </w:r>
      <w:r w:rsidR="00E46039" w:rsidRPr="005642AC">
        <w:t xml:space="preserve">esent </w:t>
      </w:r>
      <w:r w:rsidR="006B5A38" w:rsidRPr="005642AC">
        <w:t>all three</w:t>
      </w:r>
      <w:r w:rsidRPr="005642AC">
        <w:t xml:space="preserve"> texts to students at once, and provide them with the prompt and materials to use to construct</w:t>
      </w:r>
      <w:r w:rsidR="003A5733">
        <w:t xml:space="preserve"> their response. </w:t>
      </w:r>
      <w:r w:rsidRPr="005642AC">
        <w:t xml:space="preserve">This should be </w:t>
      </w:r>
      <w:r w:rsidR="00E129FD" w:rsidRPr="005642AC">
        <w:t>a timed exercise (for example, 9</w:t>
      </w:r>
      <w:r w:rsidR="003A5733">
        <w:t xml:space="preserve">0 minutes). </w:t>
      </w:r>
      <w:r w:rsidRPr="005642AC">
        <w:t xml:space="preserve">Use this </w:t>
      </w:r>
      <w:r w:rsidR="003A5733">
        <w:t xml:space="preserve">exercise </w:t>
      </w:r>
      <w:r w:rsidRPr="005642AC">
        <w:t>as an assessment to measure student progress toward reading and writing expectations</w:t>
      </w:r>
      <w:r w:rsidR="003A5733">
        <w:t xml:space="preserve"> as well as content knowledge. </w:t>
      </w:r>
      <w:r w:rsidRPr="005642AC">
        <w:t xml:space="preserve">This is a good primer activity for </w:t>
      </w:r>
      <w:r w:rsidR="006528CB" w:rsidRPr="005642AC">
        <w:t>state assessments</w:t>
      </w:r>
      <w:r w:rsidRPr="005642AC">
        <w:t>.</w:t>
      </w:r>
    </w:p>
    <w:p w:rsidR="00FC4BD2" w:rsidRPr="005642AC" w:rsidRDefault="00FC4BD2" w:rsidP="00FC4BD2">
      <w:pPr>
        <w:pStyle w:val="ListParagraph"/>
        <w:numPr>
          <w:ilvl w:val="0"/>
          <w:numId w:val="2"/>
        </w:numPr>
        <w:spacing w:line="240" w:lineRule="auto"/>
      </w:pPr>
      <w:r w:rsidRPr="005642AC">
        <w:rPr>
          <w:b/>
        </w:rPr>
        <w:t>Task:</w:t>
      </w:r>
      <w:r w:rsidRPr="005642AC">
        <w:t xml:space="preserve"> If using this material as a writing task, you may scaffold the texts with close readings and text-based questions to guide stude</w:t>
      </w:r>
      <w:r w:rsidR="003A5733">
        <w:t xml:space="preserve">nt exploration of the text(s). </w:t>
      </w:r>
      <w:r w:rsidRPr="005642AC">
        <w:t>A culminating task of this lesson or sequence of lessons could be the writing prompt – either assigned in class, as homework, or as a report that is drafted and refined over time to build writing skills.</w:t>
      </w:r>
    </w:p>
    <w:p w:rsidR="006528CB" w:rsidRPr="005642AC" w:rsidRDefault="006528CB" w:rsidP="006528CB">
      <w:pPr>
        <w:spacing w:line="240" w:lineRule="auto"/>
        <w:rPr>
          <w:b/>
        </w:rPr>
      </w:pPr>
      <w:r w:rsidRPr="005642AC">
        <w:rPr>
          <w:b/>
        </w:rPr>
        <w:t xml:space="preserve">Scaffolding and support for special education students, English language learners, and struggling readers: </w:t>
      </w:r>
      <w:r w:rsidRPr="005642AC">
        <w:t>Consider pre-teaching synonyms of difficult vocabulary words.  Lower-level readers and ELL students can still be challenged without being overloaded with difficulty. This strategy can also be used to differentiate for stronger readers by introducing new, and more challenging, vocabulary. Struggling readers would also benefit from visual aids to illustrate many of the ideas presented. Pictures, diagrams, and charts alongside the text will go far to aide students as they dissect the article.</w:t>
      </w:r>
    </w:p>
    <w:p w:rsidR="00FC4BD2" w:rsidRPr="005642AC" w:rsidRDefault="00FC4BD2" w:rsidP="00FC4BD2">
      <w:pPr>
        <w:spacing w:line="240" w:lineRule="auto"/>
      </w:pPr>
      <w:r w:rsidRPr="005642AC">
        <w:rPr>
          <w:b/>
        </w:rPr>
        <w:t xml:space="preserve">Note: </w:t>
      </w:r>
      <w:r w:rsidRPr="005642AC">
        <w:t>Social, ethnic, racial, religious, and gender bias is best determined at the local level where educators have in-depth knowledge of the culture and values of the community in which students live. TDOE asks local districts to review these</w:t>
      </w:r>
      <w:r w:rsidR="006528CB" w:rsidRPr="005642AC">
        <w:t xml:space="preserve"> materials</w:t>
      </w:r>
      <w:r w:rsidRPr="005642AC">
        <w:t xml:space="preserve"> for social, ethnic, racial, religious, and gender bias before use in local schools.</w:t>
      </w:r>
    </w:p>
    <w:sectPr w:rsidR="00FC4BD2" w:rsidRPr="005642AC" w:rsidSect="00FC4BD2">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C6" w:rsidRDefault="00E439C6" w:rsidP="008B28C7">
      <w:pPr>
        <w:spacing w:after="0" w:line="240" w:lineRule="auto"/>
      </w:pPr>
      <w:r>
        <w:separator/>
      </w:r>
    </w:p>
  </w:endnote>
  <w:endnote w:type="continuationSeparator" w:id="0">
    <w:p w:rsidR="00E439C6" w:rsidRDefault="00E439C6" w:rsidP="008B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660969"/>
      <w:docPartObj>
        <w:docPartGallery w:val="Page Numbers (Bottom of Page)"/>
        <w:docPartUnique/>
      </w:docPartObj>
    </w:sdtPr>
    <w:sdtEndPr/>
    <w:sdtContent>
      <w:p w:rsidR="00251349" w:rsidRDefault="00FC55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1349" w:rsidRDefault="00251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C6" w:rsidRDefault="00E439C6" w:rsidP="008B28C7">
      <w:pPr>
        <w:spacing w:after="0" w:line="240" w:lineRule="auto"/>
      </w:pPr>
      <w:r>
        <w:separator/>
      </w:r>
    </w:p>
  </w:footnote>
  <w:footnote w:type="continuationSeparator" w:id="0">
    <w:p w:rsidR="00E439C6" w:rsidRDefault="00E439C6" w:rsidP="008B2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49" w:rsidRDefault="00251349">
    <w:pPr>
      <w:pStyle w:val="Header"/>
    </w:pPr>
    <w:r>
      <w:rPr>
        <w:noProof/>
      </w:rPr>
      <w:drawing>
        <wp:anchor distT="0" distB="0" distL="114300" distR="114300" simplePos="0" relativeHeight="251658240" behindDoc="0" locked="0" layoutInCell="1" allowOverlap="1">
          <wp:simplePos x="0" y="0"/>
          <wp:positionH relativeFrom="column">
            <wp:posOffset>6715125</wp:posOffset>
          </wp:positionH>
          <wp:positionV relativeFrom="paragraph">
            <wp:posOffset>-209550</wp:posOffset>
          </wp:positionV>
          <wp:extent cx="1466850" cy="485775"/>
          <wp:effectExtent l="19050" t="0" r="0" b="0"/>
          <wp:wrapSquare wrapText="bothSides"/>
          <wp:docPr id="1" name="Picture 1" descr="TN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Core"/>
                  <pic:cNvPicPr>
                    <a:picLocks noChangeAspect="1" noChangeArrowheads="1"/>
                  </pic:cNvPicPr>
                </pic:nvPicPr>
                <pic:blipFill>
                  <a:blip r:embed="rId1"/>
                  <a:srcRect/>
                  <a:stretch>
                    <a:fillRect/>
                  </a:stretch>
                </pic:blipFill>
                <pic:spPr bwMode="auto">
                  <a:xfrm>
                    <a:off x="0" y="0"/>
                    <a:ext cx="1466850" cy="4857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121"/>
    <w:multiLevelType w:val="hybridMultilevel"/>
    <w:tmpl w:val="F2F8D8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E7AE2"/>
    <w:multiLevelType w:val="hybridMultilevel"/>
    <w:tmpl w:val="0B7A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A4922"/>
    <w:multiLevelType w:val="hybridMultilevel"/>
    <w:tmpl w:val="A56CA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968C0"/>
    <w:multiLevelType w:val="hybridMultilevel"/>
    <w:tmpl w:val="B3F8A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519CD"/>
    <w:multiLevelType w:val="hybridMultilevel"/>
    <w:tmpl w:val="0C50D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59E7401"/>
    <w:multiLevelType w:val="hybridMultilevel"/>
    <w:tmpl w:val="4BF0A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FC4BD2"/>
    <w:rsid w:val="0000177F"/>
    <w:rsid w:val="00117AAC"/>
    <w:rsid w:val="0014562C"/>
    <w:rsid w:val="001541C5"/>
    <w:rsid w:val="00166112"/>
    <w:rsid w:val="001E51AF"/>
    <w:rsid w:val="00251349"/>
    <w:rsid w:val="00255917"/>
    <w:rsid w:val="002803B6"/>
    <w:rsid w:val="002B425E"/>
    <w:rsid w:val="002F6306"/>
    <w:rsid w:val="00324119"/>
    <w:rsid w:val="0037347A"/>
    <w:rsid w:val="0039022A"/>
    <w:rsid w:val="003A20CC"/>
    <w:rsid w:val="003A33AA"/>
    <w:rsid w:val="003A5733"/>
    <w:rsid w:val="00465291"/>
    <w:rsid w:val="00487B4E"/>
    <w:rsid w:val="00497E90"/>
    <w:rsid w:val="004F380A"/>
    <w:rsid w:val="0051796E"/>
    <w:rsid w:val="005642AC"/>
    <w:rsid w:val="005A6E65"/>
    <w:rsid w:val="005F5AEA"/>
    <w:rsid w:val="00642EC7"/>
    <w:rsid w:val="006528CB"/>
    <w:rsid w:val="00657176"/>
    <w:rsid w:val="006A692C"/>
    <w:rsid w:val="006B5A38"/>
    <w:rsid w:val="00862D5E"/>
    <w:rsid w:val="00881053"/>
    <w:rsid w:val="008B28C7"/>
    <w:rsid w:val="009240AD"/>
    <w:rsid w:val="0096282C"/>
    <w:rsid w:val="00982228"/>
    <w:rsid w:val="00A04DD2"/>
    <w:rsid w:val="00A051A9"/>
    <w:rsid w:val="00A95162"/>
    <w:rsid w:val="00AC6608"/>
    <w:rsid w:val="00BE7FA2"/>
    <w:rsid w:val="00C02A96"/>
    <w:rsid w:val="00C268D9"/>
    <w:rsid w:val="00D26CCB"/>
    <w:rsid w:val="00D57966"/>
    <w:rsid w:val="00D7466C"/>
    <w:rsid w:val="00D77CD6"/>
    <w:rsid w:val="00D81769"/>
    <w:rsid w:val="00DA558F"/>
    <w:rsid w:val="00E129FD"/>
    <w:rsid w:val="00E319AA"/>
    <w:rsid w:val="00E42FE1"/>
    <w:rsid w:val="00E439C6"/>
    <w:rsid w:val="00E46039"/>
    <w:rsid w:val="00E5677E"/>
    <w:rsid w:val="00E628C5"/>
    <w:rsid w:val="00EB5488"/>
    <w:rsid w:val="00ED2AC7"/>
    <w:rsid w:val="00F36451"/>
    <w:rsid w:val="00F919D6"/>
    <w:rsid w:val="00FC44AF"/>
    <w:rsid w:val="00FC4BD2"/>
    <w:rsid w:val="00FC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E2615484-DBFB-40EE-BE93-21199C87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4BD2"/>
  </w:style>
  <w:style w:type="paragraph" w:styleId="Heading1">
    <w:name w:val="heading 1"/>
    <w:basedOn w:val="Normal"/>
    <w:next w:val="Normal"/>
    <w:link w:val="Heading1Char"/>
    <w:uiPriority w:val="9"/>
    <w:qFormat/>
    <w:rsid w:val="003734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4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4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7347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C4BD2"/>
    <w:rPr>
      <w:color w:val="0000FF" w:themeColor="hyperlink"/>
      <w:u w:val="single"/>
    </w:rPr>
  </w:style>
  <w:style w:type="paragraph" w:styleId="ListParagraph">
    <w:name w:val="List Paragraph"/>
    <w:basedOn w:val="Normal"/>
    <w:uiPriority w:val="34"/>
    <w:qFormat/>
    <w:rsid w:val="00FC4BD2"/>
    <w:pPr>
      <w:ind w:left="720"/>
      <w:contextualSpacing/>
    </w:pPr>
  </w:style>
  <w:style w:type="table" w:styleId="TableGrid">
    <w:name w:val="Table Grid"/>
    <w:basedOn w:val="TableNormal"/>
    <w:uiPriority w:val="59"/>
    <w:rsid w:val="00FC4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7966"/>
    <w:rPr>
      <w:sz w:val="16"/>
      <w:szCs w:val="16"/>
    </w:rPr>
  </w:style>
  <w:style w:type="paragraph" w:styleId="CommentText">
    <w:name w:val="annotation text"/>
    <w:basedOn w:val="Normal"/>
    <w:link w:val="CommentTextChar"/>
    <w:uiPriority w:val="99"/>
    <w:semiHidden/>
    <w:unhideWhenUsed/>
    <w:rsid w:val="00D57966"/>
    <w:pPr>
      <w:spacing w:line="240" w:lineRule="auto"/>
    </w:pPr>
    <w:rPr>
      <w:sz w:val="20"/>
      <w:szCs w:val="20"/>
    </w:rPr>
  </w:style>
  <w:style w:type="character" w:customStyle="1" w:styleId="CommentTextChar">
    <w:name w:val="Comment Text Char"/>
    <w:basedOn w:val="DefaultParagraphFont"/>
    <w:link w:val="CommentText"/>
    <w:uiPriority w:val="99"/>
    <w:semiHidden/>
    <w:rsid w:val="00D57966"/>
    <w:rPr>
      <w:sz w:val="20"/>
      <w:szCs w:val="20"/>
    </w:rPr>
  </w:style>
  <w:style w:type="paragraph" w:styleId="CommentSubject">
    <w:name w:val="annotation subject"/>
    <w:basedOn w:val="CommentText"/>
    <w:next w:val="CommentText"/>
    <w:link w:val="CommentSubjectChar"/>
    <w:uiPriority w:val="99"/>
    <w:semiHidden/>
    <w:unhideWhenUsed/>
    <w:rsid w:val="00D57966"/>
    <w:rPr>
      <w:b/>
      <w:bCs/>
    </w:rPr>
  </w:style>
  <w:style w:type="character" w:customStyle="1" w:styleId="CommentSubjectChar">
    <w:name w:val="Comment Subject Char"/>
    <w:basedOn w:val="CommentTextChar"/>
    <w:link w:val="CommentSubject"/>
    <w:uiPriority w:val="99"/>
    <w:semiHidden/>
    <w:rsid w:val="00D57966"/>
    <w:rPr>
      <w:b/>
      <w:bCs/>
      <w:sz w:val="20"/>
      <w:szCs w:val="20"/>
    </w:rPr>
  </w:style>
  <w:style w:type="paragraph" w:styleId="BalloonText">
    <w:name w:val="Balloon Text"/>
    <w:basedOn w:val="Normal"/>
    <w:link w:val="BalloonTextChar"/>
    <w:uiPriority w:val="99"/>
    <w:semiHidden/>
    <w:unhideWhenUsed/>
    <w:rsid w:val="00D57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966"/>
    <w:rPr>
      <w:rFonts w:ascii="Tahoma" w:hAnsi="Tahoma" w:cs="Tahoma"/>
      <w:sz w:val="16"/>
      <w:szCs w:val="16"/>
    </w:rPr>
  </w:style>
  <w:style w:type="character" w:styleId="FollowedHyperlink">
    <w:name w:val="FollowedHyperlink"/>
    <w:basedOn w:val="DefaultParagraphFont"/>
    <w:uiPriority w:val="99"/>
    <w:semiHidden/>
    <w:unhideWhenUsed/>
    <w:rsid w:val="00D57966"/>
    <w:rPr>
      <w:color w:val="800080" w:themeColor="followedHyperlink"/>
      <w:u w:val="single"/>
    </w:rPr>
  </w:style>
  <w:style w:type="character" w:customStyle="1" w:styleId="apple-converted-space">
    <w:name w:val="apple-converted-space"/>
    <w:basedOn w:val="DefaultParagraphFont"/>
    <w:rsid w:val="00E319AA"/>
  </w:style>
  <w:style w:type="paragraph" w:styleId="Header">
    <w:name w:val="header"/>
    <w:basedOn w:val="Normal"/>
    <w:link w:val="HeaderChar"/>
    <w:uiPriority w:val="99"/>
    <w:semiHidden/>
    <w:unhideWhenUsed/>
    <w:rsid w:val="008B28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28C7"/>
  </w:style>
  <w:style w:type="paragraph" w:styleId="Footer">
    <w:name w:val="footer"/>
    <w:basedOn w:val="Normal"/>
    <w:link w:val="FooterChar"/>
    <w:uiPriority w:val="99"/>
    <w:unhideWhenUsed/>
    <w:rsid w:val="008B2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health/archive/2012/03/overhauling-the-farm-bill-the-real-beneficiaries-of-subsidies/254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ncore.org/literacy_in_science_and_technology/assessment/scoring_resource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core.org/english_language_arts/curricular_resources/text_dependent_question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ercatus.org/publication/bloated-farm-subsidies-will-2013-farm-bill-really-cut-fat" TargetMode="External"/><Relationship Id="rId4" Type="http://schemas.openxmlformats.org/officeDocument/2006/relationships/settings" Target="settings.xml"/><Relationship Id="rId9" Type="http://schemas.openxmlformats.org/officeDocument/2006/relationships/hyperlink" Target="http://www.heritage.org/research/reports/2007/06/how-farm-subsidies-harm-taxpayers-consumers-and-farmers-to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9AC87-D27B-4B4E-9524-D896DF06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1663</Words>
  <Characters>9481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Haugner</dc:creator>
  <cp:keywords/>
  <dc:description/>
  <cp:lastModifiedBy>Amy Owen</cp:lastModifiedBy>
  <cp:revision>2</cp:revision>
  <dcterms:created xsi:type="dcterms:W3CDTF">2016-02-24T02:31:00Z</dcterms:created>
  <dcterms:modified xsi:type="dcterms:W3CDTF">2016-02-24T02:31:00Z</dcterms:modified>
</cp:coreProperties>
</file>